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D36D8" w14:textId="1396D326" w:rsidR="00C867A5" w:rsidRPr="005B482D" w:rsidRDefault="00C07F82" w:rsidP="00C07F82">
      <w:pPr>
        <w:tabs>
          <w:tab w:val="right" w:pos="9360"/>
        </w:tabs>
        <w:spacing w:after="0"/>
        <w:ind w:right="-180"/>
        <w:rPr>
          <w:rFonts w:ascii="Garamond" w:hAnsi="Garamond"/>
          <w:i/>
          <w:color w:val="C94909"/>
          <w:sz w:val="24"/>
          <w:szCs w:val="24"/>
        </w:rPr>
      </w:pPr>
      <w:r w:rsidRPr="005B482D">
        <w:rPr>
          <w:rFonts w:ascii="Garamond" w:hAnsi="Garamond"/>
          <w:sz w:val="24"/>
          <w:szCs w:val="24"/>
          <w:highlight w:val="cyan"/>
        </w:rPr>
        <w:t>EdRev will insert date</w:t>
      </w:r>
      <w:r w:rsidRPr="005B482D">
        <w:rPr>
          <w:rFonts w:ascii="Garamond" w:hAnsi="Garamond"/>
          <w:sz w:val="24"/>
          <w:szCs w:val="24"/>
        </w:rPr>
        <w:tab/>
      </w:r>
      <w:r w:rsidR="00C867A5" w:rsidRPr="005B482D">
        <w:rPr>
          <w:rFonts w:ascii="Garamond" w:hAnsi="Garamond"/>
          <w:sz w:val="24"/>
          <w:szCs w:val="24"/>
        </w:rPr>
        <w:t>ISSN 1094-5296</w:t>
      </w:r>
    </w:p>
    <w:p w14:paraId="756DA2C1" w14:textId="77777777" w:rsidR="00C867A5" w:rsidRPr="005B482D" w:rsidRDefault="00C867A5" w:rsidP="00C867A5">
      <w:pPr>
        <w:spacing w:after="0"/>
        <w:ind w:right="-180"/>
        <w:rPr>
          <w:rFonts w:ascii="Garamond" w:hAnsi="Garamond"/>
          <w:sz w:val="24"/>
          <w:szCs w:val="24"/>
        </w:rPr>
      </w:pPr>
    </w:p>
    <w:tbl>
      <w:tblPr>
        <w:tblW w:w="9360" w:type="dxa"/>
        <w:tblInd w:w="108" w:type="dxa"/>
        <w:shd w:val="clear" w:color="auto" w:fill="FFE645"/>
        <w:tblLayout w:type="fixed"/>
        <w:tblLook w:val="0000" w:firstRow="0" w:lastRow="0" w:firstColumn="0" w:lastColumn="0" w:noHBand="0" w:noVBand="0"/>
      </w:tblPr>
      <w:tblGrid>
        <w:gridCol w:w="9360"/>
      </w:tblGrid>
      <w:tr w:rsidR="00C867A5" w:rsidRPr="005B482D" w14:paraId="72384A4D" w14:textId="77777777" w:rsidTr="00483173">
        <w:tc>
          <w:tcPr>
            <w:tcW w:w="9360" w:type="dxa"/>
            <w:shd w:val="clear" w:color="auto" w:fill="FFE645"/>
          </w:tcPr>
          <w:p w14:paraId="0A09BF5A" w14:textId="77777777" w:rsidR="00C867A5" w:rsidRPr="005B482D" w:rsidRDefault="00C867A5" w:rsidP="00C867A5">
            <w:pPr>
              <w:spacing w:after="0" w:line="240" w:lineRule="auto"/>
              <w:rPr>
                <w:rFonts w:ascii="Garamond" w:hAnsi="Garamond"/>
                <w:bCs/>
                <w:spacing w:val="6"/>
                <w:sz w:val="24"/>
                <w:szCs w:val="24"/>
              </w:rPr>
            </w:pPr>
          </w:p>
          <w:p w14:paraId="32FE8F47" w14:textId="7A60FFDA" w:rsidR="00C867A5" w:rsidRPr="00EB7A2F" w:rsidRDefault="006041E7" w:rsidP="00483173">
            <w:pPr>
              <w:spacing w:after="0" w:line="240" w:lineRule="auto"/>
              <w:ind w:left="720" w:hanging="720"/>
              <w:rPr>
                <w:rFonts w:ascii="Garamond" w:hAnsi="Garamond"/>
                <w:b/>
                <w:sz w:val="24"/>
                <w:szCs w:val="24"/>
              </w:rPr>
            </w:pPr>
            <w:r w:rsidRPr="006041E7">
              <w:rPr>
                <w:rFonts w:ascii="Garamond" w:hAnsi="Garamond"/>
                <w:b/>
                <w:sz w:val="24"/>
                <w:szCs w:val="24"/>
              </w:rPr>
              <w:t>Angulo, A. J., ed. (2016). Miseducation: A history of ignorance-making in America and abroad. Baltimore: Johns Hopkins University Press.</w:t>
            </w:r>
          </w:p>
          <w:p w14:paraId="6ACB5761" w14:textId="77777777" w:rsidR="00C867A5" w:rsidRPr="005B482D" w:rsidRDefault="00C867A5" w:rsidP="00C867A5">
            <w:pPr>
              <w:spacing w:after="0" w:line="240" w:lineRule="auto"/>
              <w:rPr>
                <w:rFonts w:ascii="Garamond" w:hAnsi="Garamond"/>
                <w:sz w:val="24"/>
                <w:szCs w:val="24"/>
              </w:rPr>
            </w:pPr>
          </w:p>
          <w:p w14:paraId="15E4141C" w14:textId="4404BE9D" w:rsidR="00C867A5" w:rsidRPr="005B482D" w:rsidRDefault="00C867A5" w:rsidP="00C867A5">
            <w:pPr>
              <w:spacing w:after="0" w:line="240" w:lineRule="auto"/>
              <w:rPr>
                <w:rFonts w:ascii="Garamond" w:hAnsi="Garamond"/>
                <w:sz w:val="24"/>
                <w:szCs w:val="24"/>
              </w:rPr>
            </w:pPr>
            <w:r w:rsidRPr="005B482D">
              <w:rPr>
                <w:rFonts w:ascii="Garamond" w:hAnsi="Garamond"/>
                <w:sz w:val="24"/>
                <w:szCs w:val="24"/>
              </w:rPr>
              <w:t xml:space="preserve">Pp. </w:t>
            </w:r>
            <w:r w:rsidR="006041E7" w:rsidRPr="006041E7">
              <w:rPr>
                <w:rFonts w:ascii="Garamond" w:hAnsi="Garamond"/>
                <w:sz w:val="24"/>
                <w:szCs w:val="24"/>
              </w:rPr>
              <w:t>374</w:t>
            </w:r>
            <w:r w:rsidR="00483173" w:rsidRPr="005B482D">
              <w:rPr>
                <w:rFonts w:ascii="Garamond" w:hAnsi="Garamond"/>
                <w:sz w:val="24"/>
                <w:szCs w:val="24"/>
              </w:rPr>
              <w:t xml:space="preserve"> </w:t>
            </w:r>
            <w:r w:rsidRPr="005B482D">
              <w:rPr>
                <w:rFonts w:ascii="Garamond" w:hAnsi="Garamond"/>
                <w:sz w:val="24"/>
                <w:szCs w:val="24"/>
              </w:rPr>
              <w:t xml:space="preserve">                                                                </w:t>
            </w:r>
            <w:r w:rsidR="00483173" w:rsidRPr="005B482D">
              <w:rPr>
                <w:rFonts w:ascii="Garamond" w:hAnsi="Garamond"/>
                <w:sz w:val="24"/>
                <w:szCs w:val="24"/>
              </w:rPr>
              <w:t xml:space="preserve">         </w:t>
            </w:r>
            <w:r w:rsidR="00C07F82" w:rsidRPr="005B482D">
              <w:rPr>
                <w:rFonts w:ascii="Garamond" w:hAnsi="Garamond"/>
                <w:sz w:val="24"/>
                <w:szCs w:val="24"/>
              </w:rPr>
              <w:t xml:space="preserve">      </w:t>
            </w:r>
            <w:r w:rsidR="00483173" w:rsidRPr="005B482D">
              <w:rPr>
                <w:rFonts w:ascii="Garamond" w:hAnsi="Garamond"/>
                <w:sz w:val="24"/>
                <w:szCs w:val="24"/>
              </w:rPr>
              <w:t xml:space="preserve"> </w:t>
            </w:r>
            <w:r w:rsidRPr="005B482D">
              <w:rPr>
                <w:rFonts w:ascii="Garamond" w:hAnsi="Garamond"/>
                <w:sz w:val="24"/>
                <w:szCs w:val="24"/>
              </w:rPr>
              <w:t xml:space="preserve">ISBN: </w:t>
            </w:r>
            <w:r w:rsidR="006041E7" w:rsidRPr="006041E7">
              <w:rPr>
                <w:rFonts w:ascii="Garamond" w:hAnsi="Garamond"/>
                <w:sz w:val="24"/>
                <w:szCs w:val="24"/>
              </w:rPr>
              <w:t>978-1421419329</w:t>
            </w:r>
          </w:p>
          <w:p w14:paraId="69E430FD" w14:textId="77777777" w:rsidR="00C867A5" w:rsidRPr="005B482D" w:rsidRDefault="00C867A5" w:rsidP="00C867A5">
            <w:pPr>
              <w:spacing w:after="0" w:line="240" w:lineRule="auto"/>
              <w:rPr>
                <w:rFonts w:ascii="Garamond" w:hAnsi="Garamond"/>
                <w:sz w:val="24"/>
                <w:szCs w:val="24"/>
              </w:rPr>
            </w:pPr>
            <w:r w:rsidRPr="005B482D">
              <w:rPr>
                <w:rFonts w:ascii="Garamond" w:hAnsi="Garamond"/>
                <w:sz w:val="24"/>
                <w:szCs w:val="24"/>
              </w:rPr>
              <w:t xml:space="preserve">               </w:t>
            </w:r>
          </w:p>
        </w:tc>
      </w:tr>
    </w:tbl>
    <w:p w14:paraId="7487577E" w14:textId="77777777" w:rsidR="00C867A5" w:rsidRPr="005B482D" w:rsidRDefault="00C867A5" w:rsidP="00C867A5">
      <w:pPr>
        <w:rPr>
          <w:rFonts w:ascii="Garamond" w:hAnsi="Garamond"/>
          <w:sz w:val="24"/>
          <w:szCs w:val="24"/>
        </w:rPr>
        <w:sectPr w:rsidR="00C867A5" w:rsidRPr="005B482D" w:rsidSect="00C867A5">
          <w:headerReference w:type="even" r:id="rId6"/>
          <w:headerReference w:type="default" r:id="rId7"/>
          <w:headerReference w:type="first" r:id="rId8"/>
          <w:footerReference w:type="first" r:id="rId9"/>
          <w:pgSz w:w="12240" w:h="15840"/>
          <w:pgMar w:top="1440" w:right="1440" w:bottom="1440" w:left="1440" w:header="720" w:footer="720" w:gutter="0"/>
          <w:cols w:space="720"/>
          <w:titlePg/>
          <w:docGrid w:linePitch="600" w:charSpace="36864"/>
        </w:sectPr>
      </w:pPr>
    </w:p>
    <w:p w14:paraId="07346FCB" w14:textId="77777777" w:rsidR="00C867A5" w:rsidRPr="005B482D" w:rsidRDefault="00C867A5" w:rsidP="00C867A5">
      <w:pPr>
        <w:spacing w:after="0" w:line="400" w:lineRule="exact"/>
        <w:ind w:right="-90"/>
        <w:rPr>
          <w:rFonts w:ascii="Garamond" w:hAnsi="Garamond"/>
          <w:bCs/>
          <w:sz w:val="24"/>
          <w:szCs w:val="24"/>
        </w:rPr>
      </w:pPr>
    </w:p>
    <w:p w14:paraId="6C189F3A" w14:textId="77777777" w:rsidR="00EB7A2F" w:rsidRDefault="00EB7A2F" w:rsidP="00C867A5">
      <w:pPr>
        <w:spacing w:line="240" w:lineRule="auto"/>
        <w:contextualSpacing/>
        <w:rPr>
          <w:rFonts w:ascii="Garamond" w:hAnsi="Garamond"/>
          <w:b/>
          <w:sz w:val="24"/>
          <w:szCs w:val="24"/>
        </w:rPr>
        <w:sectPr w:rsidR="00EB7A2F" w:rsidSect="00EB7A2F">
          <w:headerReference w:type="default" r:id="rId10"/>
          <w:footerReference w:type="even" r:id="rId11"/>
          <w:footerReference w:type="default" r:id="rId12"/>
          <w:headerReference w:type="first" r:id="rId13"/>
          <w:footerReference w:type="first" r:id="rId14"/>
          <w:type w:val="continuous"/>
          <w:pgSz w:w="12240" w:h="15840"/>
          <w:pgMar w:top="1440" w:right="1350" w:bottom="1440" w:left="1440" w:header="720" w:footer="720" w:gutter="0"/>
          <w:cols w:space="720"/>
          <w:titlePg/>
          <w:docGrid w:linePitch="600" w:charSpace="36864"/>
        </w:sectPr>
      </w:pPr>
    </w:p>
    <w:p w14:paraId="01B16B55" w14:textId="30BCAB61" w:rsidR="00C867A5" w:rsidRPr="00EB7A2F" w:rsidRDefault="00C867A5" w:rsidP="00C867A5">
      <w:pPr>
        <w:spacing w:line="240" w:lineRule="auto"/>
        <w:contextualSpacing/>
        <w:rPr>
          <w:rFonts w:ascii="Garamond" w:hAnsi="Garamond"/>
          <w:b/>
          <w:sz w:val="24"/>
          <w:szCs w:val="24"/>
        </w:rPr>
      </w:pPr>
      <w:r w:rsidRPr="00EB7A2F">
        <w:rPr>
          <w:rFonts w:ascii="Garamond" w:hAnsi="Garamond"/>
          <w:b/>
          <w:sz w:val="24"/>
          <w:szCs w:val="24"/>
        </w:rPr>
        <w:lastRenderedPageBreak/>
        <w:t xml:space="preserve">Reviewed by </w:t>
      </w:r>
      <w:r w:rsidR="006041E7">
        <w:rPr>
          <w:rFonts w:ascii="Garamond" w:hAnsi="Garamond"/>
          <w:b/>
          <w:sz w:val="24"/>
          <w:szCs w:val="24"/>
        </w:rPr>
        <w:t>Elizabeth Currin</w:t>
      </w:r>
    </w:p>
    <w:p w14:paraId="0E6F5248" w14:textId="76FDAFA1" w:rsidR="00C867A5" w:rsidRPr="00EB7A2F" w:rsidRDefault="006041E7" w:rsidP="00C867A5">
      <w:pPr>
        <w:spacing w:after="0" w:line="240" w:lineRule="auto"/>
        <w:contextualSpacing/>
        <w:rPr>
          <w:rFonts w:ascii="Garamond" w:hAnsi="Garamond"/>
          <w:b/>
          <w:sz w:val="24"/>
          <w:szCs w:val="24"/>
          <w:lang w:val="pt-BR"/>
        </w:rPr>
      </w:pPr>
      <w:r w:rsidRPr="006041E7">
        <w:rPr>
          <w:rFonts w:ascii="Garamond" w:hAnsi="Garamond"/>
          <w:b/>
          <w:sz w:val="24"/>
          <w:szCs w:val="24"/>
        </w:rPr>
        <w:t>University of Florida</w:t>
      </w:r>
    </w:p>
    <w:p w14:paraId="5FB442B0" w14:textId="332DF2F3" w:rsidR="00C867A5" w:rsidRPr="00EB7A2F" w:rsidRDefault="006041E7" w:rsidP="00C867A5">
      <w:pPr>
        <w:spacing w:after="0" w:line="240" w:lineRule="auto"/>
        <w:contextualSpacing/>
        <w:rPr>
          <w:rFonts w:ascii="Garamond" w:hAnsi="Garamond"/>
          <w:b/>
          <w:bCs/>
          <w:sz w:val="24"/>
          <w:szCs w:val="24"/>
        </w:rPr>
      </w:pPr>
      <w:r w:rsidRPr="006041E7">
        <w:rPr>
          <w:rFonts w:ascii="Garamond" w:hAnsi="Garamond"/>
          <w:b/>
          <w:sz w:val="24"/>
          <w:szCs w:val="24"/>
          <w:lang w:val="pt-BR"/>
        </w:rPr>
        <w:t>United States</w:t>
      </w:r>
    </w:p>
    <w:p w14:paraId="064292A6" w14:textId="577777B6" w:rsidR="0037358C" w:rsidRDefault="0037358C" w:rsidP="00483173">
      <w:pPr>
        <w:spacing w:after="0" w:line="240" w:lineRule="auto"/>
        <w:rPr>
          <w:rFonts w:ascii="Garamond" w:eastAsia="Garamond" w:hAnsi="Garamond"/>
          <w:b/>
          <w:spacing w:val="4"/>
          <w:sz w:val="28"/>
          <w:szCs w:val="28"/>
          <w:lang w:val="x-none" w:eastAsia="x-none"/>
        </w:rPr>
        <w:sectPr w:rsidR="0037358C" w:rsidSect="0037358C">
          <w:type w:val="continuous"/>
          <w:pgSz w:w="12240" w:h="15840"/>
          <w:pgMar w:top="1440" w:right="1350" w:bottom="1440" w:left="1440" w:header="720" w:footer="720" w:gutter="0"/>
          <w:cols w:space="720"/>
          <w:titlePg/>
          <w:docGrid w:linePitch="600" w:charSpace="36864"/>
        </w:sectPr>
      </w:pPr>
    </w:p>
    <w:p w14:paraId="216F4310" w14:textId="04CE3251" w:rsidR="00C867A5" w:rsidRPr="005B482D" w:rsidRDefault="002022A5" w:rsidP="00483173">
      <w:pPr>
        <w:spacing w:after="0" w:line="240" w:lineRule="auto"/>
        <w:rPr>
          <w:rFonts w:ascii="Garamond" w:eastAsia="Garamond" w:hAnsi="Garamond"/>
          <w:b/>
          <w:spacing w:val="4"/>
          <w:sz w:val="28"/>
          <w:szCs w:val="28"/>
          <w:lang w:val="x-none" w:eastAsia="x-none"/>
        </w:rPr>
      </w:pPr>
      <w:r>
        <w:rPr>
          <w:rFonts w:ascii="Garamond" w:hAnsi="Garamond"/>
          <w:noProof/>
          <w:spacing w:val="4"/>
          <w:sz w:val="24"/>
          <w:szCs w:val="24"/>
        </w:rPr>
        <w:lastRenderedPageBreak/>
        <w:drawing>
          <wp:anchor distT="0" distB="0" distL="114300" distR="114300" simplePos="0" relativeHeight="251658240" behindDoc="0" locked="0" layoutInCell="1" allowOverlap="1" wp14:anchorId="7293AF48" wp14:editId="11282A5E">
            <wp:simplePos x="0" y="0"/>
            <wp:positionH relativeFrom="column">
              <wp:posOffset>3038475</wp:posOffset>
            </wp:positionH>
            <wp:positionV relativeFrom="paragraph">
              <wp:posOffset>151130</wp:posOffset>
            </wp:positionV>
            <wp:extent cx="2933065" cy="4395470"/>
            <wp:effectExtent l="0" t="0" r="635" b="5080"/>
            <wp:wrapTight wrapText="bothSides">
              <wp:wrapPolygon edited="0">
                <wp:start x="0" y="0"/>
                <wp:lineTo x="0" y="21531"/>
                <wp:lineTo x="21464" y="21531"/>
                <wp:lineTo x="2146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XgVU5J56L._SX331_BO1,204,203,200_.jpg"/>
                    <pic:cNvPicPr/>
                  </pic:nvPicPr>
                  <pic:blipFill>
                    <a:blip r:embed="rId15">
                      <a:extLst>
                        <a:ext uri="{28A0092B-C50C-407E-A947-70E740481C1C}">
                          <a14:useLocalDpi xmlns:a14="http://schemas.microsoft.com/office/drawing/2010/main" val="0"/>
                        </a:ext>
                      </a:extLst>
                    </a:blip>
                    <a:stretch>
                      <a:fillRect/>
                    </a:stretch>
                  </pic:blipFill>
                  <pic:spPr>
                    <a:xfrm>
                      <a:off x="0" y="0"/>
                      <a:ext cx="2933065" cy="43954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D517D73" w14:textId="77777777" w:rsidR="00691311" w:rsidRDefault="00691311" w:rsidP="00EB7A2F">
      <w:pPr>
        <w:spacing w:after="0" w:line="240" w:lineRule="auto"/>
        <w:ind w:firstLine="720"/>
        <w:rPr>
          <w:rFonts w:ascii="Garamond" w:hAnsi="Garamond"/>
          <w:color w:val="000000"/>
          <w:sz w:val="24"/>
          <w:szCs w:val="24"/>
          <w:shd w:val="clear" w:color="auto" w:fill="FFFFFF"/>
        </w:rPr>
      </w:pPr>
      <w:r w:rsidRPr="00691311">
        <w:rPr>
          <w:rFonts w:ascii="Garamond" w:hAnsi="Garamond"/>
          <w:color w:val="000000"/>
          <w:sz w:val="24"/>
          <w:szCs w:val="24"/>
          <w:shd w:val="clear" w:color="auto" w:fill="FFFFFF"/>
        </w:rPr>
        <w:t xml:space="preserve">“Exploding myths,” A. J. Angulo (2016) warns, “is dangerous business,” yet his edited volume’s historical case study approach is said to “ease us into an understanding of the way the mythmaking process works, evolves, adapts, and takes surprising detours” (p. 340). True to his word, </w:t>
      </w:r>
      <w:r w:rsidRPr="00691311">
        <w:rPr>
          <w:rFonts w:ascii="Garamond" w:hAnsi="Garamond"/>
          <w:i/>
          <w:color w:val="000000"/>
          <w:sz w:val="24"/>
          <w:szCs w:val="24"/>
          <w:shd w:val="clear" w:color="auto" w:fill="FFFFFF"/>
        </w:rPr>
        <w:t>Miseducation: A History of Ignorance-Making in America and Abroad</w:t>
      </w:r>
      <w:r w:rsidRPr="00691311">
        <w:rPr>
          <w:rFonts w:ascii="Garamond" w:hAnsi="Garamond"/>
          <w:color w:val="000000"/>
          <w:sz w:val="24"/>
          <w:szCs w:val="24"/>
          <w:shd w:val="clear" w:color="auto" w:fill="FFFFFF"/>
        </w:rPr>
        <w:t xml:space="preserve"> manages just that: the collection of essays is at once dangerously explosive and delightfully easy to read. The former characteristic is owing to the impressive array of topics that Angulo’s contributors address; the latter quality speaks to Angulo’s knack for arranging these independently strong pieces into a powerfully provocative whole.</w:t>
      </w:r>
    </w:p>
    <w:p w14:paraId="655C8D9B" w14:textId="3EF5182B" w:rsidR="004856F4" w:rsidRDefault="004856F4" w:rsidP="00EB7A2F">
      <w:pPr>
        <w:spacing w:after="0" w:line="240" w:lineRule="auto"/>
        <w:ind w:firstLine="720"/>
        <w:rPr>
          <w:rFonts w:ascii="Garamond" w:hAnsi="Garamond"/>
          <w:color w:val="000000"/>
          <w:sz w:val="24"/>
          <w:szCs w:val="24"/>
          <w:shd w:val="clear" w:color="auto" w:fill="FFFFFF"/>
        </w:rPr>
      </w:pPr>
      <w:r w:rsidRPr="004856F4">
        <w:rPr>
          <w:rFonts w:ascii="Garamond" w:hAnsi="Garamond"/>
          <w:color w:val="000000"/>
          <w:sz w:val="24"/>
          <w:szCs w:val="24"/>
          <w:shd w:val="clear" w:color="auto" w:fill="FFFFFF"/>
        </w:rPr>
        <w:t xml:space="preserve">He begins this ambitious task by providing readers with a solid introduction to agnotology, the study of ignorance. Establishing ignorance as a discernible presence—even a choice—rather than an absence or lack, he implores us to pay close attention to its markers, boundaries, and purposes. After all, Angulo argues, “Our lives take us in directions that require us to become less ignorant about some aspects of life and increasingly ignorant about </w:t>
      </w:r>
      <w:r w:rsidRPr="004856F4">
        <w:rPr>
          <w:rFonts w:ascii="Garamond" w:hAnsi="Garamond"/>
          <w:color w:val="000000"/>
          <w:sz w:val="24"/>
          <w:szCs w:val="24"/>
          <w:shd w:val="clear" w:color="auto" w:fill="FFFFFF"/>
        </w:rPr>
        <w:lastRenderedPageBreak/>
        <w:t xml:space="preserve">others” (p. 1), yet scholars have </w:t>
      </w:r>
      <w:r w:rsidR="002022A5">
        <w:rPr>
          <w:rFonts w:ascii="Garamond" w:hAnsi="Garamond"/>
          <w:color w:val="000000"/>
          <w:sz w:val="24"/>
          <w:szCs w:val="24"/>
          <w:shd w:val="clear" w:color="auto" w:fill="FFFFFF"/>
        </w:rPr>
        <w:t>ostensibly</w:t>
      </w:r>
      <w:r>
        <w:rPr>
          <w:rFonts w:ascii="Garamond" w:hAnsi="Garamond"/>
          <w:color w:val="000000"/>
          <w:sz w:val="24"/>
          <w:szCs w:val="24"/>
          <w:shd w:val="clear" w:color="auto" w:fill="FFFFFF"/>
        </w:rPr>
        <w:t xml:space="preserve"> </w:t>
      </w:r>
      <w:r w:rsidRPr="004856F4">
        <w:rPr>
          <w:rFonts w:ascii="Garamond" w:hAnsi="Garamond"/>
          <w:color w:val="000000"/>
          <w:sz w:val="24"/>
          <w:szCs w:val="24"/>
          <w:shd w:val="clear" w:color="auto" w:fill="FFFFFF"/>
        </w:rPr>
        <w:t xml:space="preserve">ignored ignorance. Angulo aims to extend historian Robert Proctor’s work, urging capable readers to join him. In part, this goal recognizes the distinct role historians of education can play in the burgeoning field of ignorance studies. However, </w:t>
      </w:r>
      <w:r w:rsidRPr="004856F4">
        <w:rPr>
          <w:rFonts w:ascii="Garamond" w:hAnsi="Garamond"/>
          <w:i/>
          <w:color w:val="000000"/>
          <w:sz w:val="24"/>
          <w:szCs w:val="24"/>
          <w:shd w:val="clear" w:color="auto" w:fill="FFFFFF"/>
        </w:rPr>
        <w:t>Miseducation</w:t>
      </w:r>
      <w:r w:rsidRPr="004856F4">
        <w:rPr>
          <w:rFonts w:ascii="Garamond" w:hAnsi="Garamond"/>
          <w:color w:val="000000"/>
          <w:sz w:val="24"/>
          <w:szCs w:val="24"/>
          <w:shd w:val="clear" w:color="auto" w:fill="FFFFFF"/>
        </w:rPr>
        <w:t xml:space="preserve"> does not spare that population in its finger-pointing, and rightly so.</w:t>
      </w:r>
    </w:p>
    <w:p w14:paraId="787DD153" w14:textId="1340E19A" w:rsidR="00912141" w:rsidRDefault="00912141" w:rsidP="00EB7A2F">
      <w:pPr>
        <w:spacing w:after="0" w:line="240" w:lineRule="auto"/>
        <w:ind w:firstLine="720"/>
        <w:rPr>
          <w:rFonts w:ascii="Garamond" w:hAnsi="Garamond"/>
          <w:color w:val="000000"/>
          <w:sz w:val="24"/>
          <w:szCs w:val="24"/>
          <w:shd w:val="clear" w:color="auto" w:fill="FFFFFF"/>
        </w:rPr>
      </w:pPr>
      <w:r w:rsidRPr="00912141">
        <w:rPr>
          <w:rFonts w:ascii="Garamond" w:hAnsi="Garamond"/>
          <w:color w:val="000000"/>
          <w:sz w:val="24"/>
          <w:szCs w:val="24"/>
          <w:shd w:val="clear" w:color="auto" w:fill="FFFFFF"/>
        </w:rPr>
        <w:t xml:space="preserve">Part I, “Legalizing Ignorance,” reinforces the notion that ignorance exists by acknowledging instances when it was blatantly encouraged to suit various interests, such as the veritably encoded achievement gap in the antebellum South. Author Kim Tolley uncovers in Georgia’s 1829 antiliteracy law “a fear of the intellectual equality of blacks and whites” (p. 29). Fear, it seems, goes hand-in-hand with ignorance-making, as Karen Graves makes clear in her chapter, a refined distillation of her prior work, </w:t>
      </w:r>
      <w:r w:rsidRPr="00912141">
        <w:rPr>
          <w:rFonts w:ascii="Garamond" w:hAnsi="Garamond"/>
          <w:i/>
          <w:color w:val="000000"/>
          <w:sz w:val="24"/>
          <w:szCs w:val="24"/>
          <w:shd w:val="clear" w:color="auto" w:fill="FFFFFF"/>
        </w:rPr>
        <w:t xml:space="preserve">And They Were Wonderful Teachers: Florida’s Purge of Gay and Lesbian Teachers </w:t>
      </w:r>
      <w:r w:rsidRPr="00912141">
        <w:rPr>
          <w:rFonts w:ascii="Garamond" w:hAnsi="Garamond"/>
          <w:color w:val="000000"/>
          <w:sz w:val="24"/>
          <w:szCs w:val="24"/>
          <w:shd w:val="clear" w:color="auto" w:fill="FFFFFF"/>
        </w:rPr>
        <w:t xml:space="preserve">(2009). Appearing in concert with the other contributions in Angulo’s volume, Graves’s scholarship benefits from an agnotology lens, </w:t>
      </w:r>
      <w:r w:rsidR="002022A5">
        <w:rPr>
          <w:rFonts w:ascii="Garamond" w:hAnsi="Garamond"/>
          <w:color w:val="000000"/>
          <w:sz w:val="24"/>
          <w:szCs w:val="24"/>
          <w:shd w:val="clear" w:color="auto" w:fill="FFFFFF"/>
        </w:rPr>
        <w:t>underscoring</w:t>
      </w:r>
      <w:r w:rsidRPr="00912141">
        <w:rPr>
          <w:rFonts w:ascii="Garamond" w:hAnsi="Garamond"/>
          <w:color w:val="000000"/>
          <w:sz w:val="24"/>
          <w:szCs w:val="24"/>
          <w:shd w:val="clear" w:color="auto" w:fill="FFFFFF"/>
        </w:rPr>
        <w:t xml:space="preserve"> educational institutions’ persistent need to confront their own responsibility for the production of ignorance.</w:t>
      </w:r>
    </w:p>
    <w:p w14:paraId="6F7DE291" w14:textId="491AD1D9" w:rsidR="00912141" w:rsidRDefault="00912141" w:rsidP="00EB7A2F">
      <w:pPr>
        <w:spacing w:after="0" w:line="240" w:lineRule="auto"/>
        <w:ind w:firstLine="720"/>
        <w:rPr>
          <w:rFonts w:ascii="Garamond" w:hAnsi="Garamond"/>
          <w:color w:val="000000"/>
          <w:sz w:val="24"/>
          <w:szCs w:val="24"/>
          <w:shd w:val="clear" w:color="auto" w:fill="FFFFFF"/>
        </w:rPr>
      </w:pPr>
      <w:r w:rsidRPr="00912141">
        <w:rPr>
          <w:rFonts w:ascii="Garamond" w:hAnsi="Garamond"/>
          <w:color w:val="000000"/>
          <w:sz w:val="24"/>
          <w:szCs w:val="24"/>
          <w:shd w:val="clear" w:color="auto" w:fill="FFFFFF"/>
        </w:rPr>
        <w:t xml:space="preserve">In keeping with the theme of Part I, Adam Shapiro charts the multifaceted strategies of antievolutionists, establishing a sound precursor for Kevin Elliott’s subsequent chapter. Elliott, like Shapiro, draws heavily upon the work of Robert Proctor, as well as Naomi Oreskes and Erik Conway. Admittedly, it is challenging to delineate where their ideas end and Elliott’s begin, although he aptly relies on their scholarship to advocate for critical science literacy regarding climate change, polemically reminding readers of the </w:t>
      </w:r>
      <w:r w:rsidR="002022A5" w:rsidRPr="00912141">
        <w:rPr>
          <w:rFonts w:ascii="Garamond" w:hAnsi="Garamond"/>
          <w:color w:val="000000"/>
          <w:sz w:val="24"/>
          <w:szCs w:val="24"/>
          <w:shd w:val="clear" w:color="auto" w:fill="FFFFFF"/>
        </w:rPr>
        <w:t>tobacco industry</w:t>
      </w:r>
      <w:r w:rsidR="002022A5">
        <w:rPr>
          <w:rFonts w:ascii="Garamond" w:hAnsi="Garamond"/>
          <w:color w:val="000000"/>
          <w:sz w:val="24"/>
          <w:szCs w:val="24"/>
          <w:shd w:val="clear" w:color="auto" w:fill="FFFFFF"/>
        </w:rPr>
        <w:t>’s</w:t>
      </w:r>
      <w:r w:rsidR="002022A5" w:rsidRPr="00912141">
        <w:rPr>
          <w:rFonts w:ascii="Garamond" w:hAnsi="Garamond"/>
          <w:color w:val="000000"/>
          <w:sz w:val="24"/>
          <w:szCs w:val="24"/>
          <w:shd w:val="clear" w:color="auto" w:fill="FFFFFF"/>
        </w:rPr>
        <w:t xml:space="preserve"> </w:t>
      </w:r>
      <w:r w:rsidR="002022A5">
        <w:rPr>
          <w:rFonts w:ascii="Garamond" w:hAnsi="Garamond"/>
          <w:color w:val="000000"/>
          <w:sz w:val="24"/>
          <w:szCs w:val="24"/>
          <w:shd w:val="clear" w:color="auto" w:fill="FFFFFF"/>
        </w:rPr>
        <w:t>nefarious machinations</w:t>
      </w:r>
      <w:r w:rsidRPr="00912141">
        <w:rPr>
          <w:rFonts w:ascii="Garamond" w:hAnsi="Garamond"/>
          <w:color w:val="000000"/>
          <w:sz w:val="24"/>
          <w:szCs w:val="24"/>
          <w:shd w:val="clear" w:color="auto" w:fill="FFFFFF"/>
        </w:rPr>
        <w:t>. Elliott’s chapter thus exemplifies how a robust understanding of the past can have an instructive contemporary impact. Indeed, Part I invites readers to view laws more scrupulously, carefully considering how omissions or occlusions may lurk beneath the sterile surface.</w:t>
      </w:r>
    </w:p>
    <w:p w14:paraId="3F589DCA" w14:textId="45AA156A" w:rsidR="008C57FC" w:rsidRDefault="008C57FC" w:rsidP="00EB7A2F">
      <w:pPr>
        <w:spacing w:after="0" w:line="240" w:lineRule="auto"/>
        <w:ind w:firstLine="720"/>
        <w:rPr>
          <w:rFonts w:ascii="Garamond" w:hAnsi="Garamond"/>
          <w:color w:val="000000"/>
          <w:sz w:val="24"/>
          <w:szCs w:val="24"/>
          <w:shd w:val="clear" w:color="auto" w:fill="FFFFFF"/>
        </w:rPr>
      </w:pPr>
      <w:r w:rsidRPr="008C57FC">
        <w:rPr>
          <w:rFonts w:ascii="Garamond" w:hAnsi="Garamond"/>
          <w:color w:val="000000"/>
          <w:sz w:val="24"/>
          <w:szCs w:val="24"/>
          <w:shd w:val="clear" w:color="auto" w:fill="FFFFFF"/>
        </w:rPr>
        <w:t xml:space="preserve">Part II of </w:t>
      </w:r>
      <w:r w:rsidRPr="008C57FC">
        <w:rPr>
          <w:rFonts w:ascii="Garamond" w:hAnsi="Garamond"/>
          <w:i/>
          <w:color w:val="000000"/>
          <w:sz w:val="24"/>
          <w:szCs w:val="24"/>
          <w:shd w:val="clear" w:color="auto" w:fill="FFFFFF"/>
        </w:rPr>
        <w:t>Miseducation</w:t>
      </w:r>
      <w:r w:rsidRPr="008C57FC">
        <w:rPr>
          <w:rFonts w:ascii="Garamond" w:hAnsi="Garamond"/>
          <w:color w:val="000000"/>
          <w:sz w:val="24"/>
          <w:szCs w:val="24"/>
          <w:shd w:val="clear" w:color="auto" w:fill="FFFFFF"/>
        </w:rPr>
        <w:t xml:space="preserve"> explores mythologized ignorance, a subtler if not more sinister variety than the preceding section’s legally bound ilk. Daniel Perlstein, for instance, tells the </w:t>
      </w:r>
      <w:r w:rsidRPr="008C57FC">
        <w:rPr>
          <w:rFonts w:ascii="Garamond" w:hAnsi="Garamond"/>
          <w:color w:val="000000"/>
          <w:sz w:val="24"/>
          <w:szCs w:val="24"/>
          <w:shd w:val="clear" w:color="auto" w:fill="FFFFFF"/>
        </w:rPr>
        <w:lastRenderedPageBreak/>
        <w:t>story of Deweyan protégé Elsie Clapp to show Progressivism for the “complex amalgamation of social welfare, social solidarity, and social control” it was (p. 124). Clapp’s public school project in 1930s West Virginia relied on an epistemological positioning that avoided class conflict. Perlstein’s critique of Clapp thus shows that educators are not immune to ignorance-making, and the other contributors in Part II follow suit. Eileen Tamura casts a wide net for the complicit in her treatment of the model minority myth. Apart from the scholarly community, Tamura notes how educators who have bought into the myth were consequently ignorant of their students’ needs, overlooking aberrations from the dominant narrative. Tamura’s distinction between collective and selective memory surrounding the incarceration of Japanese Americans during World War II is a particularly powerful addition to the larger agnotological discussion.</w:t>
      </w:r>
    </w:p>
    <w:p w14:paraId="725AEA9D" w14:textId="110AFDE7" w:rsidR="008C57FC" w:rsidRDefault="008C57FC" w:rsidP="00EB7A2F">
      <w:pPr>
        <w:spacing w:after="0" w:line="240" w:lineRule="auto"/>
        <w:ind w:firstLine="720"/>
        <w:rPr>
          <w:rFonts w:ascii="Garamond" w:hAnsi="Garamond"/>
          <w:color w:val="000000"/>
          <w:sz w:val="24"/>
          <w:szCs w:val="24"/>
          <w:shd w:val="clear" w:color="auto" w:fill="FFFFFF"/>
        </w:rPr>
      </w:pPr>
      <w:r w:rsidRPr="008C57FC">
        <w:rPr>
          <w:rFonts w:ascii="Garamond" w:hAnsi="Garamond"/>
          <w:color w:val="000000"/>
          <w:sz w:val="24"/>
          <w:szCs w:val="24"/>
          <w:shd w:val="clear" w:color="auto" w:fill="FFFFFF"/>
        </w:rPr>
        <w:t xml:space="preserve">Adam Laats and Donald Warren successfully round out Part II. Laats offers a thorough portrait of the “cultural occlusion” wrought by Christian history textbooks—“a systematic attempt” to efface mainstream knowledge (p. 179). His conclusion regarding the effects of such curricula reinforces the larger theme in </w:t>
      </w:r>
      <w:r w:rsidRPr="008C57FC">
        <w:rPr>
          <w:rFonts w:ascii="Garamond" w:hAnsi="Garamond"/>
          <w:i/>
          <w:color w:val="000000"/>
          <w:sz w:val="24"/>
          <w:szCs w:val="24"/>
          <w:shd w:val="clear" w:color="auto" w:fill="FFFFFF"/>
        </w:rPr>
        <w:t>Miseducation</w:t>
      </w:r>
      <w:r w:rsidRPr="008C57FC">
        <w:rPr>
          <w:rFonts w:ascii="Garamond" w:hAnsi="Garamond"/>
          <w:color w:val="000000"/>
          <w:sz w:val="24"/>
          <w:szCs w:val="24"/>
          <w:shd w:val="clear" w:color="auto" w:fill="FFFFFF"/>
        </w:rPr>
        <w:t xml:space="preserve"> of ignorance as a discernible and deliberate presence rather than an inadvertent and innocuous lack. Coming on the heels of Laats’s chapter, Warren’s meta-examination of the history of education’s own history is especially effective. He turns a sharp critical eye on his field, presumably above the fundamentalist fray at work in the prior chapter and yet no less prone to produce and perpetuate ignorance.</w:t>
      </w:r>
    </w:p>
    <w:p w14:paraId="6DBB4FD2" w14:textId="745FA10E" w:rsidR="0029289B" w:rsidRDefault="0029289B" w:rsidP="00EB7A2F">
      <w:pPr>
        <w:spacing w:after="0" w:line="240" w:lineRule="auto"/>
        <w:ind w:firstLine="720"/>
        <w:rPr>
          <w:rFonts w:ascii="Garamond" w:hAnsi="Garamond"/>
          <w:color w:val="000000"/>
          <w:sz w:val="24"/>
          <w:szCs w:val="24"/>
          <w:shd w:val="clear" w:color="auto" w:fill="FFFFFF"/>
        </w:rPr>
      </w:pPr>
      <w:r w:rsidRPr="0029289B">
        <w:rPr>
          <w:rFonts w:ascii="Garamond" w:hAnsi="Garamond"/>
          <w:color w:val="000000"/>
          <w:sz w:val="24"/>
          <w:szCs w:val="24"/>
          <w:shd w:val="clear" w:color="auto" w:fill="FFFFFF"/>
        </w:rPr>
        <w:t xml:space="preserve">Because Warren’s chapter is a history of histories, Angulo might have chosen to end the volume there. Having extensively traversed time and space, the reader likely feels sufficiently well versed in agnotology at </w:t>
      </w:r>
      <w:r>
        <w:rPr>
          <w:rFonts w:ascii="Garamond" w:hAnsi="Garamond"/>
          <w:color w:val="000000"/>
          <w:sz w:val="24"/>
          <w:szCs w:val="24"/>
          <w:shd w:val="clear" w:color="auto" w:fill="FFFFFF"/>
        </w:rPr>
        <w:t>the end of Part II</w:t>
      </w:r>
      <w:r w:rsidRPr="0029289B">
        <w:rPr>
          <w:rFonts w:ascii="Garamond" w:hAnsi="Garamond"/>
          <w:color w:val="000000"/>
          <w:sz w:val="24"/>
          <w:szCs w:val="24"/>
          <w:shd w:val="clear" w:color="auto" w:fill="FFFFFF"/>
        </w:rPr>
        <w:t xml:space="preserve">, but Part III, “Nationalizing and Globalizing Ignorance,” plays a pivotal role. Lisa Jarvinen’s chapter, which opens the final section, is </w:t>
      </w:r>
      <w:r>
        <w:rPr>
          <w:rFonts w:ascii="Garamond" w:hAnsi="Garamond"/>
          <w:color w:val="000000"/>
          <w:sz w:val="24"/>
          <w:szCs w:val="24"/>
          <w:shd w:val="clear" w:color="auto" w:fill="FFFFFF"/>
        </w:rPr>
        <w:t>a brisk and fascinating exploration</w:t>
      </w:r>
      <w:r w:rsidRPr="0029289B">
        <w:rPr>
          <w:rFonts w:ascii="Garamond" w:hAnsi="Garamond"/>
          <w:color w:val="000000"/>
          <w:sz w:val="24"/>
          <w:szCs w:val="24"/>
          <w:shd w:val="clear" w:color="auto" w:fill="FFFFFF"/>
        </w:rPr>
        <w:t xml:space="preserve"> </w:t>
      </w:r>
      <w:r>
        <w:rPr>
          <w:rFonts w:ascii="Garamond" w:hAnsi="Garamond"/>
          <w:color w:val="000000"/>
          <w:sz w:val="24"/>
          <w:szCs w:val="24"/>
          <w:shd w:val="clear" w:color="auto" w:fill="FFFFFF"/>
        </w:rPr>
        <w:t>of</w:t>
      </w:r>
      <w:r w:rsidRPr="0029289B">
        <w:rPr>
          <w:rFonts w:ascii="Garamond" w:hAnsi="Garamond"/>
          <w:color w:val="000000"/>
          <w:sz w:val="24"/>
          <w:szCs w:val="24"/>
          <w:shd w:val="clear" w:color="auto" w:fill="FFFFFF"/>
        </w:rPr>
        <w:t xml:space="preserve"> fin de siècle American annexationists</w:t>
      </w:r>
      <w:r>
        <w:rPr>
          <w:rFonts w:ascii="Garamond" w:hAnsi="Garamond"/>
          <w:color w:val="000000"/>
          <w:sz w:val="24"/>
          <w:szCs w:val="24"/>
          <w:shd w:val="clear" w:color="auto" w:fill="FFFFFF"/>
        </w:rPr>
        <w:t>’ woefully miseducative</w:t>
      </w:r>
      <w:r w:rsidR="00241D80">
        <w:rPr>
          <w:rFonts w:ascii="Garamond" w:hAnsi="Garamond"/>
          <w:color w:val="000000"/>
          <w:sz w:val="24"/>
          <w:szCs w:val="24"/>
          <w:shd w:val="clear" w:color="auto" w:fill="FFFFFF"/>
        </w:rPr>
        <w:t xml:space="preserve"> empire denial</w:t>
      </w:r>
      <w:r w:rsidRPr="0029289B">
        <w:rPr>
          <w:rFonts w:ascii="Garamond" w:hAnsi="Garamond"/>
          <w:color w:val="000000"/>
          <w:sz w:val="24"/>
          <w:szCs w:val="24"/>
          <w:shd w:val="clear" w:color="auto" w:fill="FFFFFF"/>
        </w:rPr>
        <w:t xml:space="preserve">. At the time, Jarvinen claims, “While much was made of the supposed </w:t>
      </w:r>
      <w:r w:rsidRPr="0029289B">
        <w:rPr>
          <w:rFonts w:ascii="Garamond" w:hAnsi="Garamond"/>
          <w:color w:val="000000"/>
          <w:sz w:val="24"/>
          <w:szCs w:val="24"/>
          <w:shd w:val="clear" w:color="auto" w:fill="FFFFFF"/>
        </w:rPr>
        <w:lastRenderedPageBreak/>
        <w:t>ignorance of Filipinos, it was commonly accepted that Americans knew little to nothing about the Philippines” (p. 218). It is entirely possible this is still the case</w:t>
      </w:r>
      <w:r>
        <w:rPr>
          <w:rFonts w:ascii="Garamond" w:hAnsi="Garamond"/>
          <w:color w:val="000000"/>
          <w:sz w:val="24"/>
          <w:szCs w:val="24"/>
          <w:shd w:val="clear" w:color="auto" w:fill="FFFFFF"/>
        </w:rPr>
        <w:t>: despite alarming news reports of late</w:t>
      </w:r>
      <w:r w:rsidRPr="0029289B">
        <w:rPr>
          <w:rFonts w:ascii="Garamond" w:hAnsi="Garamond"/>
          <w:color w:val="000000"/>
          <w:sz w:val="24"/>
          <w:szCs w:val="24"/>
          <w:shd w:val="clear" w:color="auto" w:fill="FFFFFF"/>
        </w:rPr>
        <w:t>,</w:t>
      </w:r>
      <w:r>
        <w:rPr>
          <w:rFonts w:ascii="Garamond" w:hAnsi="Garamond"/>
          <w:color w:val="000000"/>
          <w:sz w:val="24"/>
          <w:szCs w:val="24"/>
          <w:shd w:val="clear" w:color="auto" w:fill="FFFFFF"/>
        </w:rPr>
        <w:t xml:space="preserve"> Rodrigo Duterte is not exactly a household name.</w:t>
      </w:r>
    </w:p>
    <w:p w14:paraId="13B27D0A" w14:textId="36093AD5" w:rsidR="00241D80" w:rsidRDefault="00241D80" w:rsidP="00EB7A2F">
      <w:pPr>
        <w:spacing w:after="0" w:line="240" w:lineRule="auto"/>
        <w:ind w:firstLine="720"/>
        <w:rPr>
          <w:rFonts w:ascii="Garamond" w:hAnsi="Garamond"/>
          <w:color w:val="000000"/>
          <w:sz w:val="24"/>
          <w:szCs w:val="24"/>
          <w:shd w:val="clear" w:color="auto" w:fill="FFFFFF"/>
        </w:rPr>
      </w:pPr>
      <w:r>
        <w:rPr>
          <w:rFonts w:ascii="Garamond" w:hAnsi="Garamond"/>
          <w:color w:val="000000"/>
          <w:sz w:val="24"/>
          <w:szCs w:val="24"/>
          <w:shd w:val="clear" w:color="auto" w:fill="FFFFFF"/>
        </w:rPr>
        <w:t>Trafficking in more familiar and equally enthralling territory, Lisa Pine examines</w:t>
      </w:r>
      <w:r w:rsidRPr="00241D80">
        <w:rPr>
          <w:rFonts w:ascii="Garamond" w:hAnsi="Garamond"/>
          <w:color w:val="000000"/>
          <w:sz w:val="24"/>
          <w:szCs w:val="24"/>
          <w:shd w:val="clear" w:color="auto" w:fill="FFFFFF"/>
        </w:rPr>
        <w:t xml:space="preserve"> miseducation during the Third Reich, when both propaganda and pedagogy </w:t>
      </w:r>
      <w:r>
        <w:rPr>
          <w:rFonts w:ascii="Garamond" w:hAnsi="Garamond"/>
          <w:color w:val="000000"/>
          <w:sz w:val="24"/>
          <w:szCs w:val="24"/>
          <w:shd w:val="clear" w:color="auto" w:fill="FFFFFF"/>
        </w:rPr>
        <w:t>served Nazi aims</w:t>
      </w:r>
      <w:r w:rsidRPr="00241D80">
        <w:rPr>
          <w:rFonts w:ascii="Garamond" w:hAnsi="Garamond"/>
          <w:color w:val="000000"/>
          <w:sz w:val="24"/>
          <w:szCs w:val="24"/>
          <w:shd w:val="clear" w:color="auto" w:fill="FFFFFF"/>
        </w:rPr>
        <w:t>. She presents convincing evidence of the Gestapo’s unfounded ubiquity, offering a salient global counterpoint to the misleading American myths in Part II. Her analysis of the means whereby Nazis “constructed and preserved ignorance among the German population by not only banning and censoring information but also replacing and obscuring knowledge” (p. 264), such as the widespread use of homogenizing textbooks, bears a</w:t>
      </w:r>
      <w:r>
        <w:rPr>
          <w:rFonts w:ascii="Garamond" w:hAnsi="Garamond"/>
          <w:color w:val="000000"/>
          <w:sz w:val="24"/>
          <w:szCs w:val="24"/>
          <w:shd w:val="clear" w:color="auto" w:fill="FFFFFF"/>
        </w:rPr>
        <w:t>n</w:t>
      </w:r>
      <w:r w:rsidRPr="00241D80">
        <w:rPr>
          <w:rFonts w:ascii="Garamond" w:hAnsi="Garamond"/>
          <w:color w:val="000000"/>
          <w:sz w:val="24"/>
          <w:szCs w:val="24"/>
          <w:shd w:val="clear" w:color="auto" w:fill="FFFFFF"/>
        </w:rPr>
        <w:t xml:space="preserve"> instructive resemblance to Adam Laats’s work in the prior section. Soli Vered and Daniel Bar-Tal’s chapter on Israel’s strategic use of </w:t>
      </w:r>
      <w:r>
        <w:rPr>
          <w:rFonts w:ascii="Garamond" w:hAnsi="Garamond"/>
          <w:color w:val="000000"/>
          <w:sz w:val="24"/>
          <w:szCs w:val="24"/>
          <w:shd w:val="clear" w:color="auto" w:fill="FFFFFF"/>
        </w:rPr>
        <w:t>masternarratives</w:t>
      </w:r>
      <w:r w:rsidRPr="00241D80">
        <w:rPr>
          <w:rFonts w:ascii="Garamond" w:hAnsi="Garamond"/>
          <w:color w:val="000000"/>
          <w:sz w:val="24"/>
          <w:szCs w:val="24"/>
          <w:shd w:val="clear" w:color="auto" w:fill="FFFFFF"/>
        </w:rPr>
        <w:t xml:space="preserve"> also has far-reaching implications, demonstrating </w:t>
      </w:r>
      <w:r>
        <w:rPr>
          <w:rFonts w:ascii="Garamond" w:hAnsi="Garamond"/>
          <w:color w:val="000000"/>
          <w:sz w:val="24"/>
          <w:szCs w:val="24"/>
          <w:shd w:val="clear" w:color="auto" w:fill="FFFFFF"/>
        </w:rPr>
        <w:t>the dangerous power of</w:t>
      </w:r>
      <w:r w:rsidRPr="00241D80">
        <w:rPr>
          <w:rFonts w:ascii="Garamond" w:hAnsi="Garamond"/>
          <w:color w:val="000000"/>
          <w:sz w:val="24"/>
          <w:szCs w:val="24"/>
          <w:shd w:val="clear" w:color="auto" w:fill="FFFFFF"/>
        </w:rPr>
        <w:t xml:space="preserve"> schools </w:t>
      </w:r>
      <w:r>
        <w:rPr>
          <w:rFonts w:ascii="Garamond" w:hAnsi="Garamond"/>
          <w:color w:val="000000"/>
          <w:sz w:val="24"/>
          <w:szCs w:val="24"/>
          <w:shd w:val="clear" w:color="auto" w:fill="FFFFFF"/>
        </w:rPr>
        <w:t>to shape and perpetuate national identity.</w:t>
      </w:r>
      <w:r w:rsidRPr="00241D80">
        <w:rPr>
          <w:rFonts w:ascii="Garamond" w:hAnsi="Garamond"/>
          <w:color w:val="000000"/>
          <w:sz w:val="24"/>
          <w:szCs w:val="24"/>
          <w:shd w:val="clear" w:color="auto" w:fill="FFFFFF"/>
        </w:rPr>
        <w:t xml:space="preserve"> The authors’ enumeration of the Israeli Ministry of Education’s tactics recalls Adam Shapiro’s and Kevin Elliott’s respective chapters, further confirming A. J. Angulo’s hunch that miseducation is a vast and vital albeit underexplored domain</w:t>
      </w:r>
      <w:r>
        <w:rPr>
          <w:rFonts w:ascii="Garamond" w:hAnsi="Garamond"/>
          <w:color w:val="000000"/>
          <w:sz w:val="24"/>
          <w:szCs w:val="24"/>
          <w:shd w:val="clear" w:color="auto" w:fill="FFFFFF"/>
        </w:rPr>
        <w:t>.</w:t>
      </w:r>
    </w:p>
    <w:p w14:paraId="1B22DF03" w14:textId="2C7F0347" w:rsidR="00241D80" w:rsidRDefault="00241D80" w:rsidP="00EB7A2F">
      <w:pPr>
        <w:spacing w:after="0" w:line="240" w:lineRule="auto"/>
        <w:ind w:firstLine="720"/>
        <w:rPr>
          <w:rFonts w:ascii="Garamond" w:hAnsi="Garamond"/>
          <w:color w:val="000000"/>
          <w:sz w:val="24"/>
          <w:szCs w:val="24"/>
          <w:shd w:val="clear" w:color="auto" w:fill="FFFFFF"/>
        </w:rPr>
      </w:pPr>
      <w:r w:rsidRPr="00241D80">
        <w:rPr>
          <w:rFonts w:ascii="Garamond" w:hAnsi="Garamond"/>
          <w:color w:val="000000"/>
          <w:sz w:val="24"/>
          <w:szCs w:val="24"/>
          <w:shd w:val="clear" w:color="auto" w:fill="FFFFFF"/>
        </w:rPr>
        <w:t>Angulo’s book is likely to give us all pause to consider our own implicit and explicit culpability in the long and storied history of ignorance. Eileen Tamura succinctly expresses what her fellow contributors also suggest: “ignorance, created and sustained, provide[s] injurious consequences” (p. 156). Dongping Han and Stephen Samuel Smith, in their nuanced portrayal of miseducation both during and about China’s Cultural Revolution, similarly warn that “ignorance might indeed function as a prime catalyst in history rather than as a side-effect or consequence” (p. 332).</w:t>
      </w:r>
    </w:p>
    <w:p w14:paraId="1FAD777D" w14:textId="203765AC" w:rsidR="00421EE5" w:rsidRDefault="00421EE5" w:rsidP="00EB7A2F">
      <w:pPr>
        <w:spacing w:after="0" w:line="240" w:lineRule="auto"/>
        <w:ind w:firstLine="720"/>
        <w:rPr>
          <w:rFonts w:ascii="Garamond" w:hAnsi="Garamond"/>
          <w:color w:val="000000"/>
          <w:sz w:val="24"/>
          <w:szCs w:val="24"/>
          <w:shd w:val="clear" w:color="auto" w:fill="FFFFFF"/>
        </w:rPr>
      </w:pPr>
      <w:r w:rsidRPr="00421EE5">
        <w:rPr>
          <w:rFonts w:ascii="Garamond" w:hAnsi="Garamond"/>
          <w:color w:val="000000"/>
          <w:sz w:val="24"/>
          <w:szCs w:val="24"/>
          <w:shd w:val="clear" w:color="auto" w:fill="FFFFFF"/>
        </w:rPr>
        <w:t xml:space="preserve">The volume would, however, benefit from greater attention to the hidden and null curricula, </w:t>
      </w:r>
      <w:r w:rsidRPr="00421EE5">
        <w:rPr>
          <w:rFonts w:ascii="Garamond" w:hAnsi="Garamond"/>
          <w:color w:val="000000"/>
          <w:sz w:val="24"/>
          <w:szCs w:val="24"/>
          <w:shd w:val="clear" w:color="auto" w:fill="FFFFFF"/>
        </w:rPr>
        <w:lastRenderedPageBreak/>
        <w:t>especially since the majority of its authors</w:t>
      </w:r>
      <w:r>
        <w:rPr>
          <w:rFonts w:ascii="Garamond" w:hAnsi="Garamond"/>
          <w:color w:val="000000"/>
          <w:sz w:val="24"/>
          <w:szCs w:val="24"/>
          <w:shd w:val="clear" w:color="auto" w:fill="FFFFFF"/>
        </w:rPr>
        <w:t xml:space="preserve"> wink and nod in that direction. A comprehensive history of global ignorance-making would seem to warrant discussion of what Eisner (2002) claims are the three curricula all schools teach—explicit, prescribed coursework and its attendant standards and assessments; implicit or hidden lessons that go well beyond the textbook page or even classro</w:t>
      </w:r>
      <w:r w:rsidR="003132BE">
        <w:rPr>
          <w:rFonts w:ascii="Garamond" w:hAnsi="Garamond"/>
          <w:color w:val="000000"/>
          <w:sz w:val="24"/>
          <w:szCs w:val="24"/>
          <w:shd w:val="clear" w:color="auto" w:fill="FFFFFF"/>
        </w:rPr>
        <w:t>om walls; and the null curriculum</w:t>
      </w:r>
      <w:r>
        <w:rPr>
          <w:rFonts w:ascii="Garamond" w:hAnsi="Garamond"/>
          <w:color w:val="000000"/>
          <w:sz w:val="24"/>
          <w:szCs w:val="24"/>
          <w:shd w:val="clear" w:color="auto" w:fill="FFFFFF"/>
        </w:rPr>
        <w:t xml:space="preserve"> conveyed through glaring omissions, echoing Angulo’s sense that ignorance is </w:t>
      </w:r>
      <w:r w:rsidR="003132BE">
        <w:rPr>
          <w:rFonts w:ascii="Garamond" w:hAnsi="Garamond"/>
          <w:color w:val="000000"/>
          <w:sz w:val="24"/>
          <w:szCs w:val="24"/>
          <w:shd w:val="clear" w:color="auto" w:fill="FFFFFF"/>
        </w:rPr>
        <w:t xml:space="preserve">dangerously </w:t>
      </w:r>
      <w:r>
        <w:rPr>
          <w:rFonts w:ascii="Garamond" w:hAnsi="Garamond"/>
          <w:color w:val="000000"/>
          <w:sz w:val="24"/>
          <w:szCs w:val="24"/>
          <w:shd w:val="clear" w:color="auto" w:fill="FFFFFF"/>
        </w:rPr>
        <w:t>palpable and substantive.</w:t>
      </w:r>
      <w:r w:rsidR="005078BC">
        <w:rPr>
          <w:rFonts w:ascii="Garamond" w:hAnsi="Garamond"/>
          <w:color w:val="000000"/>
          <w:sz w:val="24"/>
          <w:szCs w:val="24"/>
          <w:shd w:val="clear" w:color="auto" w:fill="FFFFFF"/>
        </w:rPr>
        <w:t xml:space="preserve"> Weaving curriculum theory through the agnotological approach would capitalize on this connection and strengthen the book’s implications for educators, although one of </w:t>
      </w:r>
      <w:r w:rsidR="003132BE">
        <w:rPr>
          <w:rFonts w:ascii="Garamond" w:hAnsi="Garamond"/>
          <w:i/>
          <w:color w:val="000000"/>
          <w:sz w:val="24"/>
          <w:szCs w:val="24"/>
          <w:shd w:val="clear" w:color="auto" w:fill="FFFFFF"/>
        </w:rPr>
        <w:t>Miseducation</w:t>
      </w:r>
      <w:r w:rsidR="003132BE">
        <w:rPr>
          <w:rFonts w:ascii="Garamond" w:hAnsi="Garamond"/>
          <w:color w:val="000000"/>
          <w:sz w:val="24"/>
          <w:szCs w:val="24"/>
          <w:shd w:val="clear" w:color="auto" w:fill="FFFFFF"/>
        </w:rPr>
        <w:t>’s</w:t>
      </w:r>
      <w:r w:rsidR="005078BC">
        <w:rPr>
          <w:rFonts w:ascii="Garamond" w:hAnsi="Garamond"/>
          <w:color w:val="000000"/>
          <w:sz w:val="24"/>
          <w:szCs w:val="24"/>
          <w:shd w:val="clear" w:color="auto" w:fill="FFFFFF"/>
        </w:rPr>
        <w:t xml:space="preserve"> many assets is the authors’ embrace of a broad definition of education, inviting a concomitantly wide audience.</w:t>
      </w:r>
    </w:p>
    <w:p w14:paraId="5AAA1C8C" w14:textId="72E457F9" w:rsidR="00EB7A2F" w:rsidRPr="005078BC" w:rsidRDefault="005078BC" w:rsidP="005078BC">
      <w:pPr>
        <w:spacing w:after="0" w:line="240" w:lineRule="auto"/>
        <w:ind w:firstLine="720"/>
        <w:rPr>
          <w:rFonts w:ascii="Garamond" w:hAnsi="Garamond"/>
          <w:color w:val="000000"/>
          <w:sz w:val="24"/>
          <w:szCs w:val="24"/>
          <w:shd w:val="clear" w:color="auto" w:fill="FFFFFF"/>
        </w:rPr>
      </w:pPr>
      <w:r>
        <w:rPr>
          <w:rFonts w:ascii="Garamond" w:hAnsi="Garamond"/>
          <w:color w:val="000000"/>
          <w:sz w:val="24"/>
          <w:szCs w:val="24"/>
          <w:shd w:val="clear" w:color="auto" w:fill="FFFFFF"/>
        </w:rPr>
        <w:t xml:space="preserve">Nevertheless, </w:t>
      </w:r>
      <w:r w:rsidRPr="005078BC">
        <w:rPr>
          <w:rFonts w:ascii="Garamond" w:hAnsi="Garamond"/>
          <w:color w:val="000000"/>
          <w:sz w:val="24"/>
          <w:szCs w:val="24"/>
          <w:shd w:val="clear" w:color="auto" w:fill="FFFFFF"/>
        </w:rPr>
        <w:t xml:space="preserve">Angulo’s primary audience seems to be historians of education, who arguably stand most to gain from an expansion of agnotology. </w:t>
      </w:r>
      <w:r>
        <w:rPr>
          <w:rFonts w:ascii="Garamond" w:hAnsi="Garamond"/>
          <w:color w:val="000000"/>
          <w:sz w:val="24"/>
          <w:szCs w:val="24"/>
          <w:shd w:val="clear" w:color="auto" w:fill="FFFFFF"/>
        </w:rPr>
        <w:t>I</w:t>
      </w:r>
      <w:r w:rsidRPr="005078BC">
        <w:rPr>
          <w:rFonts w:ascii="Garamond" w:hAnsi="Garamond"/>
          <w:color w:val="000000"/>
          <w:sz w:val="24"/>
          <w:szCs w:val="24"/>
          <w:shd w:val="clear" w:color="auto" w:fill="FFFFFF"/>
        </w:rPr>
        <w:t xml:space="preserve">n the final chapter, perhaps intentionally dubbed “Reflections” instead of the more definitive “Conclusion,” </w:t>
      </w:r>
      <w:r>
        <w:rPr>
          <w:rFonts w:ascii="Garamond" w:hAnsi="Garamond"/>
          <w:color w:val="000000"/>
          <w:sz w:val="24"/>
          <w:szCs w:val="24"/>
          <w:shd w:val="clear" w:color="auto" w:fill="FFFFFF"/>
        </w:rPr>
        <w:t>h</w:t>
      </w:r>
      <w:r w:rsidRPr="005078BC">
        <w:rPr>
          <w:rFonts w:ascii="Garamond" w:hAnsi="Garamond"/>
          <w:color w:val="000000"/>
          <w:sz w:val="24"/>
          <w:szCs w:val="24"/>
          <w:shd w:val="clear" w:color="auto" w:fill="FFFFFF"/>
        </w:rPr>
        <w:t xml:space="preserve">e urges </w:t>
      </w:r>
      <w:r>
        <w:rPr>
          <w:rFonts w:ascii="Garamond" w:hAnsi="Garamond"/>
          <w:color w:val="000000"/>
          <w:sz w:val="24"/>
          <w:szCs w:val="24"/>
          <w:shd w:val="clear" w:color="auto" w:fill="FFFFFF"/>
        </w:rPr>
        <w:t>a</w:t>
      </w:r>
      <w:r w:rsidRPr="005078BC">
        <w:rPr>
          <w:rFonts w:ascii="Garamond" w:hAnsi="Garamond"/>
          <w:color w:val="000000"/>
          <w:sz w:val="24"/>
          <w:szCs w:val="24"/>
          <w:shd w:val="clear" w:color="auto" w:fill="FFFFFF"/>
        </w:rPr>
        <w:t xml:space="preserve"> methodological </w:t>
      </w:r>
      <w:r>
        <w:rPr>
          <w:rFonts w:ascii="Garamond" w:hAnsi="Garamond"/>
          <w:color w:val="000000"/>
          <w:sz w:val="24"/>
          <w:szCs w:val="24"/>
          <w:shd w:val="clear" w:color="auto" w:fill="FFFFFF"/>
        </w:rPr>
        <w:t>shift within his discipline</w:t>
      </w:r>
      <w:r w:rsidRPr="005078BC">
        <w:rPr>
          <w:rFonts w:ascii="Garamond" w:hAnsi="Garamond"/>
          <w:color w:val="000000"/>
          <w:sz w:val="24"/>
          <w:szCs w:val="24"/>
          <w:shd w:val="clear" w:color="auto" w:fill="FFFFFF"/>
        </w:rPr>
        <w:t>, “a project worthy of a generation of scholars” (p. 343)</w:t>
      </w:r>
      <w:r>
        <w:rPr>
          <w:rFonts w:ascii="Garamond" w:hAnsi="Garamond"/>
          <w:color w:val="000000"/>
          <w:sz w:val="24"/>
          <w:szCs w:val="24"/>
          <w:shd w:val="clear" w:color="auto" w:fill="FFFFFF"/>
        </w:rPr>
        <w:t xml:space="preserve"> </w:t>
      </w:r>
      <w:r w:rsidR="003132BE">
        <w:rPr>
          <w:rFonts w:ascii="Garamond" w:hAnsi="Garamond"/>
          <w:color w:val="000000"/>
          <w:sz w:val="24"/>
          <w:szCs w:val="24"/>
          <w:shd w:val="clear" w:color="auto" w:fill="FFFFFF"/>
        </w:rPr>
        <w:t>and thus</w:t>
      </w:r>
      <w:r>
        <w:rPr>
          <w:rFonts w:ascii="Garamond" w:hAnsi="Garamond"/>
          <w:color w:val="000000"/>
          <w:sz w:val="24"/>
          <w:szCs w:val="24"/>
          <w:shd w:val="clear" w:color="auto" w:fill="FFFFFF"/>
        </w:rPr>
        <w:t xml:space="preserve"> necessarily dependent on </w:t>
      </w:r>
      <w:r w:rsidRPr="005078BC">
        <w:rPr>
          <w:rFonts w:ascii="Garamond" w:hAnsi="Garamond"/>
          <w:color w:val="000000"/>
          <w:sz w:val="24"/>
          <w:szCs w:val="24"/>
          <w:shd w:val="clear" w:color="auto" w:fill="FFFFFF"/>
        </w:rPr>
        <w:t>the pipeline from K-12 schools to higher education</w:t>
      </w:r>
      <w:r>
        <w:rPr>
          <w:rFonts w:ascii="Garamond" w:hAnsi="Garamond"/>
          <w:color w:val="000000"/>
          <w:sz w:val="24"/>
          <w:szCs w:val="24"/>
          <w:shd w:val="clear" w:color="auto" w:fill="FFFFFF"/>
        </w:rPr>
        <w:t xml:space="preserve">. His overarching goal for the volume, to </w:t>
      </w:r>
      <w:r w:rsidRPr="005078BC">
        <w:rPr>
          <w:rFonts w:ascii="Garamond" w:hAnsi="Garamond"/>
          <w:color w:val="000000"/>
          <w:sz w:val="24"/>
          <w:szCs w:val="24"/>
          <w:shd w:val="clear" w:color="auto" w:fill="FFFFFF"/>
        </w:rPr>
        <w:t>“energize a generation of students to learn about how ignorance is produced, diffused, maintained, and regulated in domestic and foreign contexts” (p. 347)</w:t>
      </w:r>
      <w:r>
        <w:rPr>
          <w:rFonts w:ascii="Garamond" w:hAnsi="Garamond"/>
          <w:color w:val="000000"/>
          <w:sz w:val="24"/>
          <w:szCs w:val="24"/>
          <w:shd w:val="clear" w:color="auto" w:fill="FFFFFF"/>
        </w:rPr>
        <w:t>, is lofty but noble</w:t>
      </w:r>
      <w:r w:rsidRPr="005078BC">
        <w:rPr>
          <w:rFonts w:ascii="Garamond" w:hAnsi="Garamond"/>
          <w:color w:val="000000"/>
          <w:sz w:val="24"/>
          <w:szCs w:val="24"/>
          <w:shd w:val="clear" w:color="auto" w:fill="FFFFFF"/>
        </w:rPr>
        <w:t xml:space="preserve">. </w:t>
      </w:r>
      <w:r w:rsidRPr="005078BC">
        <w:rPr>
          <w:rFonts w:ascii="Garamond" w:hAnsi="Garamond"/>
          <w:i/>
          <w:color w:val="000000"/>
          <w:sz w:val="24"/>
          <w:szCs w:val="24"/>
          <w:shd w:val="clear" w:color="auto" w:fill="FFFFFF"/>
        </w:rPr>
        <w:t>Miseducation: A History of Ignorance-Making in America and Abroad</w:t>
      </w:r>
      <w:r w:rsidRPr="005078BC">
        <w:rPr>
          <w:rFonts w:ascii="Garamond" w:hAnsi="Garamond"/>
          <w:color w:val="000000"/>
          <w:sz w:val="24"/>
          <w:szCs w:val="24"/>
          <w:shd w:val="clear" w:color="auto" w:fill="FFFFFF"/>
        </w:rPr>
        <w:t xml:space="preserve"> has as much to do with the present and future as it does the past; is as applicable worldwide as it is in the United States; and should invite a diverse set of readers who can answer the call to stop ignoring ignorance.</w:t>
      </w:r>
    </w:p>
    <w:p w14:paraId="4B161F6B" w14:textId="77777777" w:rsidR="00EB7A2F" w:rsidRDefault="00EB7A2F" w:rsidP="00EB7A2F">
      <w:pPr>
        <w:spacing w:after="0" w:line="240" w:lineRule="auto"/>
        <w:rPr>
          <w:rFonts w:ascii="Garamond" w:hAnsi="Garamond"/>
          <w:spacing w:val="4"/>
          <w:sz w:val="24"/>
          <w:szCs w:val="24"/>
          <w:highlight w:val="yellow"/>
        </w:rPr>
      </w:pPr>
    </w:p>
    <w:p w14:paraId="2AC02FAD" w14:textId="77777777" w:rsidR="00EB7A2F" w:rsidRDefault="00EB7A2F" w:rsidP="00EB7A2F">
      <w:pPr>
        <w:spacing w:after="0" w:line="240" w:lineRule="auto"/>
        <w:rPr>
          <w:rFonts w:ascii="Garamond" w:hAnsi="Garamond"/>
          <w:spacing w:val="4"/>
          <w:sz w:val="24"/>
          <w:szCs w:val="24"/>
          <w:highlight w:val="yellow"/>
        </w:rPr>
      </w:pPr>
    </w:p>
    <w:p w14:paraId="29F1D797" w14:textId="77777777" w:rsidR="00EB7A2F" w:rsidRDefault="00EB7A2F" w:rsidP="00EB7A2F">
      <w:pPr>
        <w:spacing w:after="0" w:line="240" w:lineRule="auto"/>
        <w:rPr>
          <w:rFonts w:ascii="Garamond" w:hAnsi="Garamond"/>
          <w:spacing w:val="4"/>
          <w:sz w:val="24"/>
          <w:szCs w:val="24"/>
          <w:highlight w:val="yellow"/>
        </w:rPr>
      </w:pPr>
    </w:p>
    <w:p w14:paraId="3DE88A3B" w14:textId="3EBBDFFA" w:rsidR="00EB7A2F" w:rsidRDefault="00EB7A2F" w:rsidP="00EB7A2F">
      <w:pPr>
        <w:spacing w:after="0" w:line="240" w:lineRule="auto"/>
        <w:rPr>
          <w:rFonts w:ascii="Garamond" w:hAnsi="Garamond"/>
          <w:spacing w:val="4"/>
          <w:sz w:val="24"/>
          <w:szCs w:val="24"/>
          <w:highlight w:val="yellow"/>
        </w:rPr>
      </w:pPr>
      <w:bookmarkStart w:id="0" w:name="_GoBack"/>
      <w:bookmarkEnd w:id="0"/>
    </w:p>
    <w:p w14:paraId="1D0BD320" w14:textId="1EE4C118" w:rsidR="00EB7A2F" w:rsidRDefault="00EB7A2F" w:rsidP="00EB7A2F">
      <w:pPr>
        <w:spacing w:after="0" w:line="240" w:lineRule="auto"/>
        <w:rPr>
          <w:rFonts w:ascii="Garamond" w:hAnsi="Garamond"/>
          <w:spacing w:val="4"/>
          <w:sz w:val="24"/>
          <w:szCs w:val="24"/>
          <w:highlight w:val="yellow"/>
        </w:rPr>
      </w:pPr>
    </w:p>
    <w:p w14:paraId="5527D382" w14:textId="77777777" w:rsidR="00EB7A2F" w:rsidRDefault="00EB7A2F" w:rsidP="00EB7A2F">
      <w:pPr>
        <w:spacing w:after="0" w:line="240" w:lineRule="auto"/>
        <w:rPr>
          <w:rFonts w:ascii="Garamond" w:hAnsi="Garamond"/>
          <w:spacing w:val="4"/>
          <w:sz w:val="24"/>
          <w:szCs w:val="24"/>
          <w:highlight w:val="yellow"/>
        </w:rPr>
      </w:pPr>
    </w:p>
    <w:p w14:paraId="1F95DD47" w14:textId="11165876" w:rsidR="0037358C" w:rsidRDefault="0037358C" w:rsidP="00EB7A2F">
      <w:pPr>
        <w:spacing w:after="0" w:line="240" w:lineRule="auto"/>
        <w:rPr>
          <w:rFonts w:ascii="Garamond" w:hAnsi="Garamond"/>
          <w:spacing w:val="4"/>
          <w:sz w:val="24"/>
          <w:szCs w:val="24"/>
          <w:highlight w:val="yellow"/>
        </w:rPr>
      </w:pPr>
    </w:p>
    <w:p w14:paraId="74F6A088" w14:textId="77777777" w:rsidR="0037358C" w:rsidRDefault="0037358C" w:rsidP="00EB7A2F">
      <w:pPr>
        <w:spacing w:after="0" w:line="240" w:lineRule="auto"/>
        <w:rPr>
          <w:rFonts w:ascii="Garamond" w:hAnsi="Garamond"/>
          <w:spacing w:val="4"/>
          <w:sz w:val="24"/>
          <w:szCs w:val="24"/>
          <w:highlight w:val="yellow"/>
        </w:rPr>
        <w:sectPr w:rsidR="0037358C" w:rsidSect="00064431">
          <w:type w:val="continuous"/>
          <w:pgSz w:w="12240" w:h="15840"/>
          <w:pgMar w:top="1440" w:right="1350" w:bottom="1440" w:left="1440" w:header="720" w:footer="720" w:gutter="0"/>
          <w:cols w:num="2" w:space="90"/>
          <w:titlePg/>
          <w:docGrid w:linePitch="600" w:charSpace="36864"/>
        </w:sectPr>
      </w:pPr>
    </w:p>
    <w:p w14:paraId="69AF365C" w14:textId="07A1618B" w:rsidR="00EB7A2F" w:rsidRDefault="00EB7A2F" w:rsidP="00EB7A2F">
      <w:pPr>
        <w:spacing w:after="0" w:line="240" w:lineRule="auto"/>
        <w:rPr>
          <w:rFonts w:ascii="Garamond" w:hAnsi="Garamond"/>
          <w:spacing w:val="4"/>
          <w:sz w:val="24"/>
          <w:szCs w:val="24"/>
          <w:highlight w:val="yellow"/>
        </w:rPr>
      </w:pPr>
    </w:p>
    <w:p w14:paraId="01C5490F" w14:textId="77777777" w:rsidR="00EB7A2F" w:rsidRDefault="00EB7A2F" w:rsidP="00EB7A2F">
      <w:pPr>
        <w:spacing w:after="0" w:line="240" w:lineRule="auto"/>
        <w:rPr>
          <w:rFonts w:ascii="Garamond" w:hAnsi="Garamond"/>
          <w:spacing w:val="4"/>
          <w:sz w:val="24"/>
          <w:szCs w:val="24"/>
          <w:highlight w:val="yellow"/>
        </w:rPr>
      </w:pPr>
    </w:p>
    <w:p w14:paraId="114E89AA" w14:textId="77777777" w:rsidR="00C07F82" w:rsidRPr="00EB7A2F" w:rsidRDefault="00C07F82" w:rsidP="00483173">
      <w:pPr>
        <w:spacing w:after="0" w:line="240" w:lineRule="auto"/>
        <w:rPr>
          <w:rFonts w:ascii="Garamond" w:hAnsi="Garamond"/>
          <w:b/>
          <w:sz w:val="24"/>
          <w:szCs w:val="24"/>
        </w:rPr>
      </w:pPr>
      <w:r w:rsidRPr="00EB7A2F">
        <w:rPr>
          <w:rFonts w:ascii="Garamond" w:hAnsi="Garamond"/>
          <w:b/>
          <w:sz w:val="24"/>
          <w:szCs w:val="24"/>
        </w:rPr>
        <w:lastRenderedPageBreak/>
        <w:t>References</w:t>
      </w:r>
    </w:p>
    <w:p w14:paraId="6D1186B7" w14:textId="77777777" w:rsidR="00C07F82" w:rsidRPr="005B482D" w:rsidRDefault="00C07F82" w:rsidP="00483173">
      <w:pPr>
        <w:spacing w:after="0" w:line="240" w:lineRule="auto"/>
        <w:rPr>
          <w:rFonts w:ascii="Garamond" w:hAnsi="Garamond"/>
          <w:sz w:val="24"/>
          <w:szCs w:val="24"/>
        </w:rPr>
      </w:pPr>
    </w:p>
    <w:p w14:paraId="401694BB" w14:textId="77777777" w:rsidR="005078BC" w:rsidRPr="005078BC" w:rsidRDefault="005078BC" w:rsidP="005078BC">
      <w:pPr>
        <w:spacing w:after="0" w:line="240" w:lineRule="auto"/>
        <w:ind w:left="720" w:hanging="720"/>
        <w:rPr>
          <w:rFonts w:ascii="Garamond" w:hAnsi="Garamond"/>
          <w:sz w:val="24"/>
          <w:szCs w:val="24"/>
        </w:rPr>
      </w:pPr>
      <w:r w:rsidRPr="005078BC">
        <w:rPr>
          <w:rFonts w:ascii="Garamond" w:hAnsi="Garamond"/>
          <w:sz w:val="24"/>
          <w:szCs w:val="24"/>
        </w:rPr>
        <w:t xml:space="preserve">Eisner, E. (2002). The three curricula that all schools teach. In </w:t>
      </w:r>
      <w:r w:rsidRPr="005078BC">
        <w:rPr>
          <w:rFonts w:ascii="Garamond" w:hAnsi="Garamond"/>
          <w:i/>
          <w:sz w:val="24"/>
          <w:szCs w:val="24"/>
        </w:rPr>
        <w:t>The educational imagination: On the design and evaluation of school programs</w:t>
      </w:r>
      <w:r w:rsidRPr="005078BC">
        <w:rPr>
          <w:rFonts w:ascii="Garamond" w:hAnsi="Garamond"/>
          <w:sz w:val="24"/>
          <w:szCs w:val="24"/>
        </w:rPr>
        <w:t xml:space="preserve"> (3</w:t>
      </w:r>
      <w:r w:rsidRPr="005078BC">
        <w:rPr>
          <w:rFonts w:ascii="Garamond" w:hAnsi="Garamond"/>
          <w:sz w:val="24"/>
          <w:szCs w:val="24"/>
          <w:vertAlign w:val="superscript"/>
        </w:rPr>
        <w:t>rd</w:t>
      </w:r>
      <w:r w:rsidRPr="005078BC">
        <w:rPr>
          <w:rFonts w:ascii="Garamond" w:hAnsi="Garamond"/>
          <w:sz w:val="24"/>
          <w:szCs w:val="24"/>
        </w:rPr>
        <w:t xml:space="preserve"> ed.). Upper Saddle River, NJ: Merrill Prentice Hall.</w:t>
      </w:r>
    </w:p>
    <w:p w14:paraId="3D54A2E0" w14:textId="77777777" w:rsidR="005078BC" w:rsidRPr="005078BC" w:rsidRDefault="005078BC" w:rsidP="005078BC">
      <w:pPr>
        <w:spacing w:after="0" w:line="240" w:lineRule="auto"/>
        <w:ind w:left="720" w:hanging="720"/>
        <w:rPr>
          <w:rFonts w:ascii="Garamond" w:hAnsi="Garamond"/>
          <w:sz w:val="24"/>
          <w:szCs w:val="24"/>
        </w:rPr>
      </w:pPr>
    </w:p>
    <w:p w14:paraId="022D4454" w14:textId="72F93627" w:rsidR="00C07F82" w:rsidRPr="005B482D" w:rsidRDefault="005078BC" w:rsidP="005078BC">
      <w:pPr>
        <w:spacing w:after="0" w:line="240" w:lineRule="auto"/>
        <w:ind w:left="720" w:hanging="720"/>
        <w:rPr>
          <w:rFonts w:ascii="Garamond" w:hAnsi="Garamond"/>
          <w:sz w:val="24"/>
          <w:szCs w:val="24"/>
        </w:rPr>
      </w:pPr>
      <w:r w:rsidRPr="005078BC">
        <w:rPr>
          <w:rFonts w:ascii="Garamond" w:hAnsi="Garamond"/>
          <w:sz w:val="24"/>
          <w:szCs w:val="24"/>
        </w:rPr>
        <w:t xml:space="preserve">Graves, K. (2009). </w:t>
      </w:r>
      <w:r w:rsidRPr="005078BC">
        <w:rPr>
          <w:rFonts w:ascii="Garamond" w:hAnsi="Garamond"/>
          <w:i/>
          <w:sz w:val="24"/>
          <w:szCs w:val="24"/>
        </w:rPr>
        <w:t>And they were wonderful teachers: Florida’s purge of gay and lesbian teachers</w:t>
      </w:r>
      <w:r w:rsidRPr="005078BC">
        <w:rPr>
          <w:rFonts w:ascii="Garamond" w:hAnsi="Garamond"/>
          <w:sz w:val="24"/>
          <w:szCs w:val="24"/>
        </w:rPr>
        <w:t>. Urbana: University of Illinois Press.</w:t>
      </w:r>
    </w:p>
    <w:p w14:paraId="3144E658" w14:textId="77777777" w:rsidR="005078BC" w:rsidRDefault="005078BC" w:rsidP="00483173">
      <w:pPr>
        <w:spacing w:after="0" w:line="240" w:lineRule="auto"/>
        <w:rPr>
          <w:rFonts w:ascii="Garamond" w:hAnsi="Garamond"/>
          <w:b/>
          <w:sz w:val="24"/>
          <w:szCs w:val="24"/>
        </w:rPr>
      </w:pPr>
    </w:p>
    <w:p w14:paraId="1BD0C09B" w14:textId="007C07D3" w:rsidR="00C867A5" w:rsidRPr="00EB7A2F" w:rsidRDefault="00C867A5" w:rsidP="00483173">
      <w:pPr>
        <w:spacing w:after="0" w:line="240" w:lineRule="auto"/>
        <w:rPr>
          <w:rFonts w:ascii="Garamond" w:hAnsi="Garamond"/>
          <w:b/>
          <w:sz w:val="24"/>
          <w:szCs w:val="24"/>
        </w:rPr>
      </w:pPr>
      <w:r w:rsidRPr="00EB7A2F">
        <w:rPr>
          <w:rFonts w:ascii="Garamond" w:hAnsi="Garamond"/>
          <w:b/>
          <w:sz w:val="24"/>
          <w:szCs w:val="24"/>
        </w:rPr>
        <w:t>About the Reviewer</w:t>
      </w:r>
    </w:p>
    <w:p w14:paraId="3279A95D" w14:textId="77777777" w:rsidR="00C867A5" w:rsidRPr="005B482D" w:rsidRDefault="00C867A5" w:rsidP="00483173">
      <w:pPr>
        <w:spacing w:after="0" w:line="240" w:lineRule="auto"/>
        <w:rPr>
          <w:rFonts w:ascii="Garamond" w:hAnsi="Garamond"/>
          <w:sz w:val="24"/>
          <w:szCs w:val="24"/>
        </w:rPr>
      </w:pPr>
    </w:p>
    <w:p w14:paraId="48BF0AB2" w14:textId="09163E64" w:rsidR="00483173" w:rsidRPr="00B124BB" w:rsidRDefault="005078BC" w:rsidP="00483173">
      <w:pPr>
        <w:spacing w:after="0" w:line="240" w:lineRule="auto"/>
        <w:contextualSpacing/>
        <w:rPr>
          <w:rFonts w:ascii="Garamond" w:hAnsi="Garamond"/>
          <w:b/>
          <w:sz w:val="24"/>
          <w:szCs w:val="24"/>
        </w:rPr>
      </w:pPr>
      <w:r w:rsidRPr="00B124BB">
        <w:rPr>
          <w:rFonts w:ascii="Garamond" w:hAnsi="Garamond"/>
          <w:b/>
          <w:sz w:val="24"/>
          <w:szCs w:val="24"/>
        </w:rPr>
        <w:t>Elizabeth Currin</w:t>
      </w:r>
    </w:p>
    <w:p w14:paraId="76A678AD" w14:textId="70E1D2EC" w:rsidR="00483173" w:rsidRPr="00B124BB" w:rsidRDefault="005078BC" w:rsidP="00483173">
      <w:pPr>
        <w:spacing w:after="0" w:line="240" w:lineRule="auto"/>
        <w:contextualSpacing/>
        <w:rPr>
          <w:rFonts w:ascii="Garamond" w:hAnsi="Garamond"/>
          <w:sz w:val="24"/>
          <w:szCs w:val="24"/>
        </w:rPr>
      </w:pPr>
      <w:r w:rsidRPr="00B124BB">
        <w:rPr>
          <w:rFonts w:ascii="Garamond" w:hAnsi="Garamond"/>
          <w:sz w:val="24"/>
          <w:szCs w:val="24"/>
        </w:rPr>
        <w:t>Ph.D. Student</w:t>
      </w:r>
    </w:p>
    <w:p w14:paraId="55B8C089" w14:textId="2933A0CF" w:rsidR="00483173" w:rsidRPr="005B482D" w:rsidRDefault="005078BC" w:rsidP="00483173">
      <w:pPr>
        <w:spacing w:after="0" w:line="240" w:lineRule="auto"/>
        <w:contextualSpacing/>
        <w:rPr>
          <w:rFonts w:ascii="Garamond" w:hAnsi="Garamond"/>
          <w:sz w:val="24"/>
          <w:szCs w:val="24"/>
        </w:rPr>
      </w:pPr>
      <w:r>
        <w:rPr>
          <w:rFonts w:ascii="Garamond" w:hAnsi="Garamond"/>
          <w:sz w:val="24"/>
          <w:szCs w:val="24"/>
        </w:rPr>
        <w:t>University of Florida</w:t>
      </w:r>
    </w:p>
    <w:p w14:paraId="00633153" w14:textId="28F268C3" w:rsidR="00C867A5" w:rsidRPr="005B482D" w:rsidRDefault="002573DB" w:rsidP="00483173">
      <w:pPr>
        <w:spacing w:after="0" w:line="240" w:lineRule="auto"/>
        <w:contextualSpacing/>
        <w:rPr>
          <w:rFonts w:ascii="Garamond" w:hAnsi="Garamond"/>
          <w:sz w:val="24"/>
          <w:szCs w:val="24"/>
        </w:rPr>
      </w:pPr>
      <w:r>
        <w:rPr>
          <w:rFonts w:ascii="Garamond" w:hAnsi="Garamond"/>
          <w:sz w:val="24"/>
          <w:szCs w:val="24"/>
        </w:rPr>
        <w:t xml:space="preserve">A former high school English teacher, </w:t>
      </w:r>
      <w:r w:rsidR="005078BC">
        <w:rPr>
          <w:rFonts w:ascii="Garamond" w:hAnsi="Garamond"/>
          <w:sz w:val="24"/>
          <w:szCs w:val="24"/>
        </w:rPr>
        <w:t xml:space="preserve">Elizabeth Currin is a doctoral student in Curriculum, Teaching, and Teacher Education </w:t>
      </w:r>
      <w:r>
        <w:rPr>
          <w:rFonts w:ascii="Garamond" w:hAnsi="Garamond"/>
          <w:sz w:val="24"/>
          <w:szCs w:val="24"/>
        </w:rPr>
        <w:t>at the University of Florida. Her research interests include practitioner research, critical theory, and the history of education.</w:t>
      </w:r>
    </w:p>
    <w:p w14:paraId="7867FD23" w14:textId="77777777" w:rsidR="00C867A5" w:rsidRPr="005B482D" w:rsidRDefault="00C867A5">
      <w:pPr>
        <w:suppressAutoHyphens w:val="0"/>
        <w:spacing w:after="0" w:line="240" w:lineRule="auto"/>
        <w:rPr>
          <w:rFonts w:ascii="Garamond" w:hAnsi="Garamond" w:cs="Candara"/>
          <w:i/>
          <w:noProof/>
        </w:rPr>
      </w:pPr>
      <w:r w:rsidRPr="005B482D">
        <w:rPr>
          <w:rFonts w:ascii="Garamond" w:hAnsi="Garamond" w:cs="Candara"/>
          <w:i/>
          <w:noProof/>
        </w:rPr>
        <w:br w:type="page"/>
      </w:r>
    </w:p>
    <w:p w14:paraId="48672C90" w14:textId="77777777" w:rsidR="00C867A5" w:rsidRPr="005B482D" w:rsidRDefault="00C867A5" w:rsidP="00C867A5">
      <w:pPr>
        <w:spacing w:after="0"/>
        <w:ind w:left="-180" w:right="-180"/>
        <w:rPr>
          <w:rFonts w:ascii="Garamond" w:hAnsi="Garamond" w:cs="Candara"/>
          <w:i/>
        </w:rPr>
      </w:pPr>
      <w:r w:rsidRPr="005B482D">
        <w:rPr>
          <w:rFonts w:ascii="Garamond" w:hAnsi="Garamond" w:cs="Candara"/>
          <w:i/>
          <w:noProof/>
        </w:rPr>
        <w:lastRenderedPageBreak/>
        <w:drawing>
          <wp:inline distT="0" distB="0" distL="0" distR="0" wp14:anchorId="2FE481B7" wp14:editId="6C512976">
            <wp:extent cx="5943600" cy="1571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p w14:paraId="39257A7D" w14:textId="77777777" w:rsidR="00C867A5" w:rsidRPr="005B482D" w:rsidRDefault="00C867A5" w:rsidP="00787D22">
      <w:pPr>
        <w:spacing w:after="0" w:line="240" w:lineRule="auto"/>
        <w:ind w:right="90"/>
        <w:rPr>
          <w:rFonts w:ascii="Garamond" w:hAnsi="Garamond"/>
          <w:bCs/>
          <w:sz w:val="24"/>
          <w:szCs w:val="24"/>
        </w:rPr>
      </w:pPr>
      <w:r w:rsidRPr="005B482D">
        <w:rPr>
          <w:rFonts w:ascii="Garamond" w:hAnsi="Garamond"/>
          <w:noProof/>
          <w:sz w:val="24"/>
          <w:szCs w:val="24"/>
        </w:rPr>
        <w:drawing>
          <wp:anchor distT="0" distB="0" distL="114935" distR="114935" simplePos="0" relativeHeight="251659264" behindDoc="1" locked="0" layoutInCell="1" allowOverlap="1" wp14:anchorId="00B087DC" wp14:editId="0F58BD4B">
            <wp:simplePos x="0" y="0"/>
            <wp:positionH relativeFrom="column">
              <wp:posOffset>-31750</wp:posOffset>
            </wp:positionH>
            <wp:positionV relativeFrom="paragraph">
              <wp:posOffset>27940</wp:posOffset>
            </wp:positionV>
            <wp:extent cx="211455" cy="299085"/>
            <wp:effectExtent l="0" t="0" r="0" b="5715"/>
            <wp:wrapTight wrapText="bothSides">
              <wp:wrapPolygon edited="0">
                <wp:start x="0" y="0"/>
                <wp:lineTo x="0" y="20178"/>
                <wp:lineTo x="18162" y="20178"/>
                <wp:lineTo x="1816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455" cy="299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B482D">
        <w:rPr>
          <w:rFonts w:ascii="Garamond" w:hAnsi="Garamond"/>
          <w:i/>
          <w:sz w:val="24"/>
          <w:szCs w:val="24"/>
        </w:rPr>
        <w:t>Education Review/</w:t>
      </w:r>
      <w:r w:rsidRPr="005B482D">
        <w:rPr>
          <w:rFonts w:ascii="Garamond" w:hAnsi="Garamond"/>
          <w:bCs/>
          <w:i/>
          <w:sz w:val="24"/>
          <w:szCs w:val="24"/>
        </w:rPr>
        <w:t xml:space="preserve">Reseñas Educativas/Resenhas Educativas </w:t>
      </w:r>
      <w:r w:rsidRPr="005B482D">
        <w:rPr>
          <w:rFonts w:ascii="Garamond" w:hAnsi="Garamond"/>
          <w:bCs/>
          <w:sz w:val="24"/>
          <w:szCs w:val="24"/>
        </w:rPr>
        <w:t xml:space="preserve">is supported by the edXchange initiative’s Scholarly Communications Group at the Mary Lou Fulton Teachers College, Arizona State University. </w:t>
      </w:r>
      <w:r w:rsidRPr="005B482D">
        <w:rPr>
          <w:rFonts w:ascii="Garamond" w:hAnsi="Garamond"/>
          <w:sz w:val="24"/>
          <w:szCs w:val="24"/>
        </w:rPr>
        <w:t xml:space="preserve">Copyright is retained by the first or sole author, who grants right of first publication to the </w:t>
      </w:r>
      <w:r w:rsidRPr="005B482D">
        <w:rPr>
          <w:rFonts w:ascii="Garamond" w:hAnsi="Garamond"/>
          <w:i/>
          <w:sz w:val="24"/>
          <w:szCs w:val="24"/>
        </w:rPr>
        <w:t>Education Review</w:t>
      </w:r>
      <w:r w:rsidRPr="005B482D">
        <w:rPr>
          <w:rFonts w:ascii="Garamond" w:hAnsi="Garamond"/>
          <w:sz w:val="24"/>
          <w:szCs w:val="24"/>
        </w:rPr>
        <w:t xml:space="preserve">. </w:t>
      </w:r>
      <w:r w:rsidRPr="005B482D">
        <w:rPr>
          <w:rFonts w:ascii="Garamond" w:hAnsi="Garamond"/>
          <w:spacing w:val="4"/>
          <w:sz w:val="24"/>
          <w:szCs w:val="24"/>
        </w:rPr>
        <w:t xml:space="preserve">Readers are free to copy, display, and distribute this article, as long as the work is attributed to the author(s) and </w:t>
      </w:r>
      <w:r w:rsidRPr="005B482D">
        <w:rPr>
          <w:rFonts w:ascii="Garamond" w:hAnsi="Garamond"/>
          <w:b/>
          <w:i/>
          <w:spacing w:val="4"/>
          <w:sz w:val="24"/>
          <w:szCs w:val="24"/>
        </w:rPr>
        <w:t>Education Review</w:t>
      </w:r>
      <w:r w:rsidRPr="005B482D">
        <w:rPr>
          <w:rFonts w:ascii="Garamond" w:hAnsi="Garamond"/>
          <w:b/>
          <w:spacing w:val="4"/>
          <w:sz w:val="24"/>
          <w:szCs w:val="24"/>
        </w:rPr>
        <w:t xml:space="preserve">, </w:t>
      </w:r>
      <w:r w:rsidRPr="005B482D">
        <w:rPr>
          <w:rFonts w:ascii="Garamond" w:hAnsi="Garamond"/>
          <w:spacing w:val="4"/>
          <w:sz w:val="24"/>
          <w:szCs w:val="24"/>
        </w:rPr>
        <w:t>it is distributed</w:t>
      </w:r>
      <w:r w:rsidRPr="005B482D">
        <w:rPr>
          <w:rFonts w:ascii="Garamond" w:hAnsi="Garamond"/>
          <w:b/>
          <w:spacing w:val="4"/>
          <w:sz w:val="24"/>
          <w:szCs w:val="24"/>
        </w:rPr>
        <w:t xml:space="preserve"> </w:t>
      </w:r>
      <w:r w:rsidRPr="005B482D">
        <w:rPr>
          <w:rFonts w:ascii="Garamond" w:hAnsi="Garamond"/>
          <w:spacing w:val="4"/>
          <w:sz w:val="24"/>
          <w:szCs w:val="24"/>
        </w:rPr>
        <w:t xml:space="preserve">for non-commercial purposes only, and no alteration or transformation is made in the work. More details of this Creative Commons license are available at http://creativecommons.org/licenses/by-nc-sa/3.0/. All other uses must be approved by the author(s) or </w:t>
      </w:r>
      <w:r w:rsidRPr="005B482D">
        <w:rPr>
          <w:rFonts w:ascii="Garamond" w:hAnsi="Garamond"/>
          <w:b/>
          <w:i/>
          <w:spacing w:val="4"/>
          <w:sz w:val="24"/>
          <w:szCs w:val="24"/>
        </w:rPr>
        <w:t>Education Review</w:t>
      </w:r>
      <w:r w:rsidRPr="005B482D">
        <w:rPr>
          <w:rFonts w:ascii="Garamond" w:hAnsi="Garamond"/>
          <w:spacing w:val="4"/>
          <w:sz w:val="24"/>
          <w:szCs w:val="24"/>
        </w:rPr>
        <w:t xml:space="preserve">. </w:t>
      </w:r>
      <w:r w:rsidRPr="005B482D">
        <w:rPr>
          <w:rFonts w:ascii="Garamond" w:hAnsi="Garamond"/>
          <w:b/>
          <w:i/>
          <w:spacing w:val="4"/>
          <w:sz w:val="24"/>
          <w:szCs w:val="24"/>
        </w:rPr>
        <w:t>Education Review</w:t>
      </w:r>
      <w:r w:rsidRPr="005B482D">
        <w:rPr>
          <w:rFonts w:ascii="Garamond" w:hAnsi="Garamond"/>
          <w:spacing w:val="4"/>
          <w:sz w:val="24"/>
          <w:szCs w:val="24"/>
        </w:rPr>
        <w:t xml:space="preserve"> is published by the Scholarly Communications Group of the Mary Lou Fulton Teachers College, Arizona State University.</w:t>
      </w:r>
    </w:p>
    <w:p w14:paraId="6DD8CFA5" w14:textId="77777777" w:rsidR="00C867A5" w:rsidRPr="005B482D" w:rsidRDefault="00C867A5" w:rsidP="00C867A5">
      <w:pPr>
        <w:spacing w:after="0" w:line="240" w:lineRule="auto"/>
        <w:ind w:right="-3780"/>
        <w:rPr>
          <w:rFonts w:ascii="Garamond" w:hAnsi="Garamond"/>
          <w:spacing w:val="4"/>
          <w:sz w:val="24"/>
          <w:szCs w:val="24"/>
        </w:rPr>
      </w:pPr>
    </w:p>
    <w:p w14:paraId="31A2DCA9" w14:textId="77777777" w:rsidR="00C867A5" w:rsidRPr="005B482D" w:rsidRDefault="00C867A5" w:rsidP="00C867A5">
      <w:pPr>
        <w:spacing w:after="0" w:line="240" w:lineRule="auto"/>
        <w:ind w:right="-3780"/>
        <w:rPr>
          <w:rFonts w:ascii="Garamond" w:hAnsi="Garamond"/>
          <w:sz w:val="24"/>
          <w:szCs w:val="24"/>
        </w:rPr>
      </w:pPr>
      <w:r w:rsidRPr="005B482D">
        <w:rPr>
          <w:rFonts w:ascii="Garamond" w:hAnsi="Garamond"/>
          <w:spacing w:val="4"/>
          <w:sz w:val="24"/>
          <w:szCs w:val="24"/>
        </w:rPr>
        <w:t xml:space="preserve">Please contribute reviews at </w:t>
      </w:r>
      <w:hyperlink r:id="rId18" w:history="1">
        <w:r w:rsidRPr="005B482D">
          <w:rPr>
            <w:rStyle w:val="Hyperlink"/>
            <w:rFonts w:ascii="Garamond" w:hAnsi="Garamond"/>
            <w:spacing w:val="4"/>
            <w:sz w:val="24"/>
            <w:szCs w:val="24"/>
          </w:rPr>
          <w:t>http://www.edrev.info/contribute.html</w:t>
        </w:r>
      </w:hyperlink>
      <w:r w:rsidRPr="005B482D">
        <w:rPr>
          <w:rFonts w:ascii="Garamond" w:hAnsi="Garamond"/>
          <w:spacing w:val="4"/>
          <w:sz w:val="24"/>
          <w:szCs w:val="24"/>
        </w:rPr>
        <w:t>.</w:t>
      </w:r>
    </w:p>
    <w:p w14:paraId="4FF812A4" w14:textId="77777777" w:rsidR="00C867A5" w:rsidRPr="005B482D" w:rsidRDefault="00C867A5" w:rsidP="00C867A5">
      <w:pPr>
        <w:spacing w:after="0" w:line="240" w:lineRule="auto"/>
        <w:ind w:right="-3780"/>
        <w:rPr>
          <w:rFonts w:ascii="Garamond" w:hAnsi="Garamond"/>
          <w:sz w:val="24"/>
          <w:szCs w:val="24"/>
        </w:rPr>
      </w:pPr>
    </w:p>
    <w:p w14:paraId="7AEFEFD9" w14:textId="77777777" w:rsidR="00C867A5" w:rsidRPr="005B482D" w:rsidRDefault="00C867A5" w:rsidP="00787D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right="90"/>
        <w:rPr>
          <w:rFonts w:ascii="Garamond" w:hAnsi="Garamond"/>
          <w:color w:val="C94909"/>
          <w:sz w:val="24"/>
          <w:szCs w:val="24"/>
        </w:rPr>
      </w:pPr>
      <w:r w:rsidRPr="005B482D">
        <w:rPr>
          <w:rFonts w:ascii="Garamond" w:hAnsi="Garamond"/>
          <w:sz w:val="24"/>
          <w:szCs w:val="24"/>
        </w:rPr>
        <w:t xml:space="preserve">Connect with </w:t>
      </w:r>
      <w:r w:rsidRPr="005B482D">
        <w:rPr>
          <w:rFonts w:ascii="Garamond" w:hAnsi="Garamond"/>
          <w:i/>
          <w:sz w:val="24"/>
          <w:szCs w:val="24"/>
        </w:rPr>
        <w:t>Education Review</w:t>
      </w:r>
      <w:r w:rsidRPr="005B482D">
        <w:rPr>
          <w:rFonts w:ascii="Garamond" w:hAnsi="Garamond"/>
          <w:sz w:val="24"/>
          <w:szCs w:val="24"/>
        </w:rPr>
        <w:t xml:space="preserve"> on Facebook (</w:t>
      </w:r>
      <w:hyperlink r:id="rId19" w:history="1">
        <w:r w:rsidRPr="005B482D">
          <w:rPr>
            <w:rStyle w:val="Hyperlink"/>
            <w:rFonts w:ascii="Garamond" w:hAnsi="Garamond"/>
            <w:sz w:val="24"/>
            <w:szCs w:val="24"/>
          </w:rPr>
          <w:t>https://www.facebook.com/pages/Education-Review/178358222192644</w:t>
        </w:r>
      </w:hyperlink>
      <w:r w:rsidRPr="005B482D">
        <w:rPr>
          <w:rFonts w:ascii="Garamond" w:hAnsi="Garamond"/>
          <w:sz w:val="24"/>
          <w:szCs w:val="24"/>
        </w:rPr>
        <w:t>) and on Twitter @</w:t>
      </w:r>
      <w:r w:rsidRPr="005B482D">
        <w:rPr>
          <w:rFonts w:ascii="Garamond" w:hAnsi="Garamond"/>
          <w:noProof/>
          <w:sz w:val="24"/>
          <w:szCs w:val="24"/>
        </w:rPr>
        <w:t>EducReview</w:t>
      </w:r>
    </w:p>
    <w:p w14:paraId="61D1429A" w14:textId="77777777" w:rsidR="00C867A5" w:rsidRPr="005B482D" w:rsidRDefault="00C867A5" w:rsidP="00C867A5">
      <w:pPr>
        <w:spacing w:after="0" w:line="340" w:lineRule="exact"/>
        <w:jc w:val="center"/>
        <w:rPr>
          <w:rFonts w:ascii="Garamond" w:hAnsi="Garamond"/>
          <w:color w:val="C94909"/>
          <w:spacing w:val="14"/>
          <w:sz w:val="24"/>
          <w:szCs w:val="24"/>
        </w:rPr>
      </w:pPr>
    </w:p>
    <w:p w14:paraId="33F50801" w14:textId="77777777" w:rsidR="008B06E7" w:rsidRPr="005B482D" w:rsidRDefault="008B06E7">
      <w:pPr>
        <w:rPr>
          <w:rFonts w:ascii="Garamond" w:hAnsi="Garamond"/>
        </w:rPr>
      </w:pPr>
    </w:p>
    <w:sectPr w:rsidR="008B06E7" w:rsidRPr="005B482D" w:rsidSect="00EB7A2F">
      <w:type w:val="continuous"/>
      <w:pgSz w:w="12240" w:h="15840"/>
      <w:pgMar w:top="1440" w:right="135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82906" w14:textId="77777777" w:rsidR="00DD5CE3" w:rsidRDefault="00DD5CE3" w:rsidP="00C867A5">
      <w:pPr>
        <w:spacing w:after="0" w:line="240" w:lineRule="auto"/>
      </w:pPr>
      <w:r>
        <w:separator/>
      </w:r>
    </w:p>
  </w:endnote>
  <w:endnote w:type="continuationSeparator" w:id="0">
    <w:p w14:paraId="12A66CB5" w14:textId="77777777" w:rsidR="00DD5CE3" w:rsidRDefault="00DD5CE3" w:rsidP="00C8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T Serif">
    <w:altName w:val="Times New Roman"/>
    <w:charset w:val="00"/>
    <w:family w:val="auto"/>
    <w:pitch w:val="variable"/>
    <w:sig w:usb0="00000001" w:usb1="5000204B" w:usb2="00000000" w:usb3="00000000" w:csb0="00000097"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63578" w14:textId="77777777" w:rsidR="002573DB" w:rsidRPr="005B482D" w:rsidRDefault="002573DB" w:rsidP="00483173">
    <w:pPr>
      <w:pStyle w:val="Footer"/>
      <w:tabs>
        <w:tab w:val="clear" w:pos="9360"/>
        <w:tab w:val="right" w:pos="9450"/>
      </w:tabs>
      <w:rPr>
        <w:rFonts w:ascii="Garamond" w:hAnsi="Garamond"/>
        <w:color w:val="FF6600"/>
        <w:sz w:val="22"/>
        <w:szCs w:val="22"/>
      </w:rPr>
    </w:pPr>
    <w:r>
      <w:rPr>
        <w:rFonts w:ascii="Garamond" w:hAnsi="Garamond"/>
        <w:color w:val="FF6600"/>
        <w:sz w:val="22"/>
        <w:szCs w:val="22"/>
      </w:rPr>
      <w:pict w14:anchorId="0191A58F">
        <v:rect id="_x0000_i1025" style="width:0;height:1.5pt" o:hralign="center" o:hrstd="t" o:hr="t" fillcolor="#aaa" stroked="f"/>
      </w:pict>
    </w:r>
  </w:p>
  <w:p w14:paraId="151E1C5B" w14:textId="292F2D2A" w:rsidR="002573DB" w:rsidRPr="005B482D" w:rsidRDefault="002573DB" w:rsidP="00483173">
    <w:pPr>
      <w:spacing w:after="0" w:line="240" w:lineRule="auto"/>
      <w:rPr>
        <w:rFonts w:ascii="Garamond" w:hAnsi="Garamond"/>
        <w:sz w:val="22"/>
        <w:szCs w:val="22"/>
      </w:rPr>
    </w:pPr>
    <w:r w:rsidRPr="00AC34EA">
      <w:rPr>
        <w:rFonts w:ascii="Garamond" w:hAnsi="Garamond"/>
        <w:sz w:val="22"/>
        <w:szCs w:val="22"/>
      </w:rPr>
      <w:t>Currin, E.</w:t>
    </w:r>
    <w:r w:rsidRPr="005B482D">
      <w:rPr>
        <w:rFonts w:ascii="Garamond" w:hAnsi="Garamond"/>
        <w:sz w:val="22"/>
        <w:szCs w:val="22"/>
      </w:rPr>
      <w:t xml:space="preserve"> (</w:t>
    </w:r>
    <w:r w:rsidRPr="005B482D">
      <w:rPr>
        <w:rFonts w:ascii="Garamond" w:hAnsi="Garamond"/>
        <w:sz w:val="22"/>
        <w:szCs w:val="22"/>
        <w:highlight w:val="yellow"/>
      </w:rPr>
      <w:t>EdRev will insert</w:t>
    </w:r>
    <w:r w:rsidRPr="005B482D">
      <w:rPr>
        <w:rFonts w:ascii="Garamond" w:hAnsi="Garamond"/>
        <w:sz w:val="22"/>
        <w:szCs w:val="22"/>
      </w:rPr>
      <w:t xml:space="preserve"> </w:t>
    </w:r>
    <w:r w:rsidRPr="005B482D">
      <w:rPr>
        <w:rFonts w:ascii="Garamond" w:hAnsi="Garamond"/>
        <w:sz w:val="22"/>
        <w:szCs w:val="22"/>
        <w:highlight w:val="yellow"/>
      </w:rPr>
      <w:t>date</w:t>
    </w:r>
    <w:r w:rsidRPr="005B482D">
      <w:rPr>
        <w:rFonts w:ascii="Garamond" w:hAnsi="Garamond"/>
        <w:sz w:val="22"/>
        <w:szCs w:val="22"/>
      </w:rPr>
      <w:t>). Review of</w:t>
    </w:r>
    <w:r w:rsidRPr="005B482D">
      <w:rPr>
        <w:rFonts w:ascii="Garamond" w:hAnsi="Garamond"/>
        <w:i/>
        <w:sz w:val="22"/>
        <w:szCs w:val="22"/>
      </w:rPr>
      <w:t xml:space="preserve"> </w:t>
    </w:r>
    <w:r w:rsidRPr="00AC34EA">
      <w:rPr>
        <w:rFonts w:ascii="Garamond" w:hAnsi="Garamond"/>
        <w:i/>
        <w:sz w:val="22"/>
        <w:szCs w:val="22"/>
      </w:rPr>
      <w:t xml:space="preserve">Miseducation: A History of Ignorance-Making in America and Abroad </w:t>
    </w:r>
    <w:r w:rsidRPr="00AC34EA">
      <w:rPr>
        <w:rFonts w:ascii="Garamond" w:hAnsi="Garamond"/>
        <w:sz w:val="22"/>
        <w:szCs w:val="22"/>
      </w:rPr>
      <w:t>by</w:t>
    </w:r>
    <w:r w:rsidRPr="005B482D">
      <w:rPr>
        <w:rFonts w:ascii="Garamond" w:hAnsi="Garamond"/>
        <w:sz w:val="22"/>
        <w:szCs w:val="22"/>
      </w:rPr>
      <w:t xml:space="preserve"> </w:t>
    </w:r>
    <w:r>
      <w:rPr>
        <w:rFonts w:ascii="Garamond" w:hAnsi="Garamond"/>
        <w:sz w:val="22"/>
        <w:szCs w:val="22"/>
      </w:rPr>
      <w:t>A. J. Angulo, ed</w:t>
    </w:r>
    <w:r w:rsidRPr="005B482D">
      <w:rPr>
        <w:rFonts w:ascii="Garamond" w:hAnsi="Garamond"/>
        <w:sz w:val="22"/>
        <w:szCs w:val="22"/>
      </w:rPr>
      <w:t xml:space="preserve">. </w:t>
    </w:r>
    <w:r w:rsidRPr="005B482D">
      <w:rPr>
        <w:rFonts w:ascii="Garamond" w:hAnsi="Garamond"/>
        <w:i/>
        <w:sz w:val="22"/>
        <w:szCs w:val="22"/>
      </w:rPr>
      <w:t>Education Review</w:t>
    </w:r>
    <w:r>
      <w:rPr>
        <w:rFonts w:ascii="Garamond" w:hAnsi="Garamond"/>
        <w:sz w:val="22"/>
        <w:szCs w:val="22"/>
      </w:rPr>
      <w:t>, 23</w:t>
    </w:r>
    <w:r w:rsidRPr="005B482D">
      <w:rPr>
        <w:rFonts w:ascii="Garamond" w:hAnsi="Garamond"/>
        <w:sz w:val="22"/>
        <w:szCs w:val="22"/>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751B" w14:textId="77777777" w:rsidR="002573DB" w:rsidRDefault="002573D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7C8F" w14:textId="77777777" w:rsidR="002573DB" w:rsidRDefault="002573D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E024F" w14:textId="77777777" w:rsidR="002573DB" w:rsidRDefault="002573DB">
    <w:pPr>
      <w:pStyle w:val="Footer"/>
      <w:ind w:left="450"/>
      <w:rPr>
        <w:rFonts w:ascii="Garamond" w:hAnsi="Garamond" w:cs="Garamon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19BD0" w14:textId="77777777" w:rsidR="00DD5CE3" w:rsidRDefault="00DD5CE3" w:rsidP="00C867A5">
      <w:pPr>
        <w:spacing w:after="0" w:line="240" w:lineRule="auto"/>
      </w:pPr>
      <w:r>
        <w:separator/>
      </w:r>
    </w:p>
  </w:footnote>
  <w:footnote w:type="continuationSeparator" w:id="0">
    <w:p w14:paraId="7BE7E420" w14:textId="77777777" w:rsidR="00DD5CE3" w:rsidRDefault="00DD5CE3" w:rsidP="00C86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C0012" w14:textId="10C214EF" w:rsidR="002573DB" w:rsidRPr="005B482D" w:rsidRDefault="002573DB" w:rsidP="00C867A5">
    <w:pPr>
      <w:pStyle w:val="Header"/>
      <w:framePr w:wrap="around" w:vAnchor="text" w:hAnchor="margin" w:xAlign="right" w:y="1"/>
      <w:rPr>
        <w:rStyle w:val="PageNumber"/>
        <w:rFonts w:ascii="Garamond" w:hAnsi="Garamond"/>
        <w:sz w:val="22"/>
        <w:szCs w:val="22"/>
      </w:rPr>
    </w:pPr>
    <w:r w:rsidRPr="005B482D">
      <w:rPr>
        <w:rStyle w:val="PageNumber"/>
        <w:rFonts w:ascii="Garamond" w:hAnsi="Garamond"/>
        <w:sz w:val="22"/>
        <w:szCs w:val="22"/>
      </w:rPr>
      <w:fldChar w:fldCharType="begin"/>
    </w:r>
    <w:r w:rsidRPr="005B482D">
      <w:rPr>
        <w:rStyle w:val="PageNumber"/>
        <w:rFonts w:ascii="Garamond" w:hAnsi="Garamond"/>
        <w:sz w:val="22"/>
        <w:szCs w:val="22"/>
      </w:rPr>
      <w:instrText xml:space="preserve">PAGE  </w:instrText>
    </w:r>
    <w:r w:rsidRPr="005B482D">
      <w:rPr>
        <w:rStyle w:val="PageNumber"/>
        <w:rFonts w:ascii="Garamond" w:hAnsi="Garamond"/>
        <w:sz w:val="22"/>
        <w:szCs w:val="22"/>
      </w:rPr>
      <w:fldChar w:fldCharType="separate"/>
    </w:r>
    <w:r w:rsidR="003132BE">
      <w:rPr>
        <w:rStyle w:val="PageNumber"/>
        <w:rFonts w:ascii="Garamond" w:hAnsi="Garamond"/>
        <w:noProof/>
        <w:sz w:val="22"/>
        <w:szCs w:val="22"/>
      </w:rPr>
      <w:t>2</w:t>
    </w:r>
    <w:r w:rsidRPr="005B482D">
      <w:rPr>
        <w:rStyle w:val="PageNumber"/>
        <w:rFonts w:ascii="Garamond" w:hAnsi="Garamond"/>
        <w:sz w:val="22"/>
        <w:szCs w:val="22"/>
      </w:rPr>
      <w:fldChar w:fldCharType="end"/>
    </w:r>
  </w:p>
  <w:p w14:paraId="4DBEA39E" w14:textId="77777777" w:rsidR="002573DB" w:rsidRPr="00EB7A2F" w:rsidRDefault="002573DB" w:rsidP="00EB7A2F">
    <w:pPr>
      <w:pStyle w:val="Header"/>
      <w:rPr>
        <w:rFonts w:ascii="Garamond" w:hAnsi="Garamond"/>
        <w:i/>
        <w:sz w:val="22"/>
        <w:szCs w:val="22"/>
      </w:rPr>
    </w:pPr>
    <w:r w:rsidRPr="00EB7A2F">
      <w:rPr>
        <w:rFonts w:ascii="Garamond" w:hAnsi="Garamond"/>
        <w:i/>
        <w:sz w:val="22"/>
        <w:szCs w:val="22"/>
      </w:rPr>
      <w:t>Education Review /Reseñas Educativas</w:t>
    </w:r>
  </w:p>
  <w:p w14:paraId="52BC930C" w14:textId="77777777" w:rsidR="002573DB" w:rsidRPr="005B482D" w:rsidRDefault="002573DB" w:rsidP="00C867A5">
    <w:pPr>
      <w:pStyle w:val="Header"/>
      <w:ind w:right="360"/>
      <w:rPr>
        <w:rFonts w:ascii="Garamond" w:hAnsi="Garamond"/>
        <w:i/>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81335" w14:textId="77777777" w:rsidR="002573DB" w:rsidRDefault="002573DB">
    <w:pPr>
      <w:pStyle w:val="Header"/>
      <w:jc w:val="right"/>
    </w:pPr>
  </w:p>
  <w:p w14:paraId="2315BE4F" w14:textId="77777777" w:rsidR="002573DB" w:rsidRDefault="002573DB">
    <w:pPr>
      <w:pStyle w:val="Header"/>
      <w:tabs>
        <w:tab w:val="left" w:pos="450"/>
      </w:tabs>
    </w:pPr>
    <w:r>
      <w:tab/>
    </w:r>
    <w:r>
      <w:rPr>
        <w:rFonts w:ascii="Garamond" w:hAnsi="Garamond" w:cs="Garamond"/>
        <w:b/>
        <w:i/>
        <w:color w:val="C94909"/>
      </w:rPr>
      <w:t>Education Review  http://www.edrev.info</w:t>
    </w:r>
    <w:r>
      <w:tab/>
    </w:r>
    <w:r>
      <w:tab/>
    </w:r>
    <w:r>
      <w:rPr>
        <w:color w:val="C94909"/>
      </w:rPr>
      <w:fldChar w:fldCharType="begin"/>
    </w:r>
    <w:r>
      <w:rPr>
        <w:color w:val="C94909"/>
      </w:rPr>
      <w:instrText xml:space="preserve"> PAGE </w:instrText>
    </w:r>
    <w:r>
      <w:rPr>
        <w:color w:val="C94909"/>
      </w:rPr>
      <w:fldChar w:fldCharType="separate"/>
    </w:r>
    <w:r>
      <w:rPr>
        <w:noProof/>
        <w:color w:val="C94909"/>
      </w:rPr>
      <w:t>2</w:t>
    </w:r>
    <w:r>
      <w:rPr>
        <w:color w:val="C94909"/>
      </w:rPr>
      <w:fldChar w:fldCharType="end"/>
    </w:r>
  </w:p>
  <w:p w14:paraId="14329F77" w14:textId="77777777" w:rsidR="002573DB" w:rsidRDefault="002573DB">
    <w:pPr>
      <w:pStyle w:val="Header"/>
      <w:ind w:left="360"/>
      <w:rPr>
        <w:rFonts w:ascii="Garamond" w:hAnsi="Garamond" w:cs="Garamond"/>
        <w:i/>
        <w:sz w:val="24"/>
        <w:szCs w:val="24"/>
        <w:u w:val="single"/>
      </w:rPr>
    </w:pPr>
    <w:r>
      <w:rPr>
        <w:noProof/>
      </w:rPr>
      <mc:AlternateContent>
        <mc:Choice Requires="wps">
          <w:drawing>
            <wp:anchor distT="0" distB="0" distL="114300" distR="114300" simplePos="0" relativeHeight="251659264" behindDoc="1" locked="0" layoutInCell="1" allowOverlap="1" wp14:anchorId="67D22912" wp14:editId="047E98F2">
              <wp:simplePos x="0" y="0"/>
              <wp:positionH relativeFrom="column">
                <wp:posOffset>295275</wp:posOffset>
              </wp:positionH>
              <wp:positionV relativeFrom="paragraph">
                <wp:posOffset>30480</wp:posOffset>
              </wp:positionV>
              <wp:extent cx="5725160" cy="1270"/>
              <wp:effectExtent l="104775" t="106680" r="113665" b="1079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1270"/>
                      </a:xfrm>
                      <a:prstGeom prst="straightConnector1">
                        <a:avLst/>
                      </a:prstGeom>
                      <a:noFill/>
                      <a:ln w="19080" cap="sq">
                        <a:solidFill>
                          <a:srgbClr val="C94909"/>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F1CA1E" id="_x0000_t32" coordsize="21600,21600" o:spt="32" o:oned="t" path="m,l21600,21600e" filled="f">
              <v:path arrowok="t" fillok="f" o:connecttype="none"/>
              <o:lock v:ext="edit" shapetype="t"/>
            </v:shapetype>
            <v:shape id="AutoShape 2" o:spid="_x0000_s1026" type="#_x0000_t32" style="position:absolute;margin-left:23.25pt;margin-top:2.4pt;width:450.8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" strokecolor="#c94909" strokeweight=".53mm">
              <v:stroke joinstyle="miter" endcap="squar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5AE6" w14:textId="77777777" w:rsidR="002573DB" w:rsidRPr="002A4489" w:rsidRDefault="002573DB" w:rsidP="00C867A5">
    <w:pPr>
      <w:spacing w:after="0"/>
      <w:ind w:left="-180" w:right="-180"/>
      <w:jc w:val="right"/>
      <w:rPr>
        <w:rFonts w:ascii="PT Serif" w:hAnsi="PT Serif" w:cs="Candara"/>
        <w:b/>
        <w:spacing w:val="20"/>
        <w:sz w:val="30"/>
        <w:szCs w:val="30"/>
      </w:rPr>
    </w:pPr>
  </w:p>
  <w:p w14:paraId="4DB41DEB" w14:textId="77777777" w:rsidR="002573DB" w:rsidRPr="00820E08" w:rsidRDefault="002573DB" w:rsidP="00C867A5">
    <w:pPr>
      <w:spacing w:after="0"/>
      <w:ind w:left="-180" w:right="-180"/>
      <w:jc w:val="center"/>
      <w:rPr>
        <w:rFonts w:ascii="PT Serif" w:hAnsi="PT Serif" w:cs="Candara"/>
        <w:i/>
      </w:rPr>
    </w:pPr>
    <w:r>
      <w:rPr>
        <w:rFonts w:ascii="PT Serif" w:hAnsi="PT Serif" w:cs="Candara"/>
        <w:i/>
        <w:noProof/>
      </w:rPr>
      <w:drawing>
        <wp:inline distT="0" distB="0" distL="0" distR="0" wp14:anchorId="07BE23A1" wp14:editId="2469954E">
          <wp:extent cx="5943600" cy="1571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CA64" w14:textId="62D756EF" w:rsidR="002573DB" w:rsidRPr="002213CF" w:rsidRDefault="002573DB" w:rsidP="00C867A5">
    <w:pPr>
      <w:pStyle w:val="Header"/>
      <w:framePr w:wrap="around" w:vAnchor="text" w:hAnchor="margin" w:xAlign="right" w:y="1"/>
      <w:rPr>
        <w:rStyle w:val="PageNumber"/>
        <w:sz w:val="22"/>
        <w:szCs w:val="22"/>
      </w:rPr>
    </w:pPr>
    <w:r w:rsidRPr="002213CF">
      <w:rPr>
        <w:rStyle w:val="PageNumber"/>
        <w:sz w:val="22"/>
        <w:szCs w:val="22"/>
      </w:rPr>
      <w:fldChar w:fldCharType="begin"/>
    </w:r>
    <w:r w:rsidRPr="002213CF">
      <w:rPr>
        <w:rStyle w:val="PageNumber"/>
        <w:sz w:val="22"/>
        <w:szCs w:val="22"/>
      </w:rPr>
      <w:instrText xml:space="preserve">PAGE  </w:instrText>
    </w:r>
    <w:r w:rsidRPr="002213CF">
      <w:rPr>
        <w:rStyle w:val="PageNumber"/>
        <w:sz w:val="22"/>
        <w:szCs w:val="22"/>
      </w:rPr>
      <w:fldChar w:fldCharType="separate"/>
    </w:r>
    <w:r w:rsidR="003132BE">
      <w:rPr>
        <w:rStyle w:val="PageNumber"/>
        <w:noProof/>
        <w:sz w:val="22"/>
        <w:szCs w:val="22"/>
      </w:rPr>
      <w:t>5</w:t>
    </w:r>
    <w:r w:rsidRPr="002213CF">
      <w:rPr>
        <w:rStyle w:val="PageNumber"/>
        <w:sz w:val="22"/>
        <w:szCs w:val="22"/>
      </w:rPr>
      <w:fldChar w:fldCharType="end"/>
    </w:r>
  </w:p>
  <w:p w14:paraId="775423C9" w14:textId="17635C7A" w:rsidR="002573DB" w:rsidRPr="00EB7A2F" w:rsidRDefault="002573DB" w:rsidP="00C867A5">
    <w:pPr>
      <w:pStyle w:val="Header"/>
      <w:ind w:right="360"/>
      <w:rPr>
        <w:rFonts w:ascii="Garamond" w:hAnsi="Garamond"/>
        <w:i/>
        <w:sz w:val="22"/>
        <w:szCs w:val="22"/>
      </w:rPr>
    </w:pPr>
    <w:r w:rsidRPr="00EB7A2F">
      <w:rPr>
        <w:rFonts w:ascii="Garamond" w:hAnsi="Garamond"/>
        <w:i/>
        <w:sz w:val="22"/>
        <w:szCs w:val="22"/>
      </w:rPr>
      <w:t xml:space="preserve">Review of </w:t>
    </w:r>
    <w:r>
      <w:rPr>
        <w:rFonts w:ascii="Garamond" w:hAnsi="Garamond"/>
        <w:i/>
        <w:sz w:val="22"/>
        <w:szCs w:val="22"/>
      </w:rPr>
      <w:t>Miseducation</w:t>
    </w:r>
    <w:r w:rsidRPr="00EB7A2F">
      <w:rPr>
        <w:rFonts w:ascii="Garamond" w:hAnsi="Garamond"/>
        <w:i/>
        <w:sz w:val="22"/>
        <w:szCs w:val="22"/>
      </w:rPr>
      <w:t xml:space="preserve"> by </w:t>
    </w:r>
    <w:r>
      <w:rPr>
        <w:rFonts w:ascii="Garamond" w:hAnsi="Garamond"/>
        <w:i/>
        <w:sz w:val="22"/>
        <w:szCs w:val="22"/>
      </w:rPr>
      <w:t>E. Currin</w:t>
    </w:r>
    <w:r w:rsidRPr="00EB7A2F">
      <w:rPr>
        <w:rFonts w:ascii="Garamond" w:hAnsi="Garamond"/>
        <w:i/>
        <w:sz w:val="22"/>
        <w:szCs w:val="22"/>
      </w:rPr>
      <w:tab/>
    </w:r>
    <w:r w:rsidRPr="00EB7A2F">
      <w:rPr>
        <w:rFonts w:ascii="Garamond" w:hAnsi="Garamond"/>
        <w:i/>
        <w:sz w:val="22"/>
        <w:szCs w:val="22"/>
      </w:rPr>
      <w:tab/>
    </w:r>
  </w:p>
  <w:p w14:paraId="71EDBE78" w14:textId="77777777" w:rsidR="002573DB" w:rsidRPr="002213CF" w:rsidRDefault="002573DB" w:rsidP="00C867A5">
    <w:pPr>
      <w:pStyle w:val="Header"/>
      <w:tabs>
        <w:tab w:val="left" w:pos="0"/>
      </w:tabs>
      <w:rPr>
        <w:sz w:val="22"/>
        <w:szCs w:val="2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3B007" w14:textId="77777777" w:rsidR="002573DB" w:rsidRDefault="002573DB">
    <w:pPr>
      <w:pStyle w:val="Header"/>
      <w:ind w:left="4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A5"/>
    <w:rsid w:val="00064431"/>
    <w:rsid w:val="00132BBC"/>
    <w:rsid w:val="001B5951"/>
    <w:rsid w:val="002022A5"/>
    <w:rsid w:val="00241D80"/>
    <w:rsid w:val="002573DB"/>
    <w:rsid w:val="0029289B"/>
    <w:rsid w:val="003132BE"/>
    <w:rsid w:val="0037358C"/>
    <w:rsid w:val="00416452"/>
    <w:rsid w:val="00421EE5"/>
    <w:rsid w:val="00483173"/>
    <w:rsid w:val="004856F4"/>
    <w:rsid w:val="00487651"/>
    <w:rsid w:val="005078BC"/>
    <w:rsid w:val="00550B34"/>
    <w:rsid w:val="005B482D"/>
    <w:rsid w:val="0060021D"/>
    <w:rsid w:val="006041E7"/>
    <w:rsid w:val="00691311"/>
    <w:rsid w:val="006C79D2"/>
    <w:rsid w:val="006E424A"/>
    <w:rsid w:val="00770EE6"/>
    <w:rsid w:val="00782D54"/>
    <w:rsid w:val="00787D22"/>
    <w:rsid w:val="007F515A"/>
    <w:rsid w:val="00821224"/>
    <w:rsid w:val="008B06E7"/>
    <w:rsid w:val="008B1F19"/>
    <w:rsid w:val="008C57FC"/>
    <w:rsid w:val="00912141"/>
    <w:rsid w:val="00A10071"/>
    <w:rsid w:val="00AC34EA"/>
    <w:rsid w:val="00B124BB"/>
    <w:rsid w:val="00C03CB7"/>
    <w:rsid w:val="00C07F82"/>
    <w:rsid w:val="00C867A5"/>
    <w:rsid w:val="00CE14A3"/>
    <w:rsid w:val="00D666CF"/>
    <w:rsid w:val="00DC3910"/>
    <w:rsid w:val="00DD5CE3"/>
    <w:rsid w:val="00EB7A2F"/>
    <w:rsid w:val="00EF1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62668"/>
  <w14:defaultImageDpi w14:val="300"/>
  <w15:docId w15:val="{1D4C8AA2-845F-4AA4-AE88-5EABA754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7A5"/>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70EE6"/>
    <w:pPr>
      <w:keepNext/>
      <w:keepLines/>
      <w:suppressAutoHyphens w:val="0"/>
      <w:spacing w:before="480" w:after="0" w:line="480" w:lineRule="auto"/>
      <w:jc w:val="center"/>
      <w:outlineLvl w:val="0"/>
    </w:pPr>
    <w:rPr>
      <w:rFonts w:eastAsiaTheme="majorEastAsia" w:cstheme="majorBidi"/>
      <w:b/>
      <w:bCs/>
      <w:sz w:val="24"/>
      <w:szCs w:val="32"/>
    </w:rPr>
  </w:style>
  <w:style w:type="paragraph" w:styleId="Heading2">
    <w:name w:val="heading 2"/>
    <w:basedOn w:val="Normal"/>
    <w:next w:val="Normal"/>
    <w:link w:val="Heading2Char"/>
    <w:autoRedefine/>
    <w:uiPriority w:val="9"/>
    <w:unhideWhenUsed/>
    <w:qFormat/>
    <w:rsid w:val="00770EE6"/>
    <w:pPr>
      <w:keepNext/>
      <w:keepLines/>
      <w:suppressAutoHyphens w:val="0"/>
      <w:spacing w:after="0" w:line="480" w:lineRule="auto"/>
      <w:contextualSpacing/>
      <w:jc w:val="center"/>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770EE6"/>
    <w:pPr>
      <w:keepNext/>
      <w:keepLines/>
      <w:suppressAutoHyphens w:val="0"/>
      <w:spacing w:after="0" w:line="480" w:lineRule="auto"/>
      <w:contextualSpacing/>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770EE6"/>
    <w:pPr>
      <w:keepNext/>
      <w:keepLines/>
      <w:suppressAutoHyphens w:val="0"/>
      <w:spacing w:after="0" w:line="480" w:lineRule="auto"/>
      <w:ind w:firstLine="720"/>
      <w:contextualSpacing/>
      <w:outlineLvl w:val="3"/>
    </w:pPr>
    <w:rPr>
      <w:rFonts w:eastAsiaTheme="majorEastAsia" w:cstheme="majorBidi"/>
      <w:b/>
      <w:bCs/>
      <w:iCs/>
      <w:sz w:val="24"/>
      <w:szCs w:val="24"/>
    </w:rPr>
  </w:style>
  <w:style w:type="paragraph" w:styleId="Heading5">
    <w:name w:val="heading 5"/>
    <w:basedOn w:val="Normal"/>
    <w:next w:val="Normal"/>
    <w:link w:val="Heading5Char"/>
    <w:uiPriority w:val="9"/>
    <w:unhideWhenUsed/>
    <w:qFormat/>
    <w:rsid w:val="00770EE6"/>
    <w:pPr>
      <w:keepNext/>
      <w:keepLines/>
      <w:suppressAutoHyphens w:val="0"/>
      <w:spacing w:before="200" w:after="0" w:line="480" w:lineRule="auto"/>
      <w:outlineLvl w:val="4"/>
    </w:pPr>
    <w:rPr>
      <w:rFonts w:eastAsiaTheme="majorEastAsia" w:cstheme="majorBidi"/>
      <w:b/>
      <w:i/>
      <w:sz w:val="24"/>
      <w:szCs w:val="24"/>
    </w:rPr>
  </w:style>
  <w:style w:type="paragraph" w:styleId="Heading6">
    <w:name w:val="heading 6"/>
    <w:basedOn w:val="Normal"/>
    <w:next w:val="Normal"/>
    <w:link w:val="Heading6Char"/>
    <w:uiPriority w:val="9"/>
    <w:unhideWhenUsed/>
    <w:qFormat/>
    <w:rsid w:val="00770EE6"/>
    <w:pPr>
      <w:keepNext/>
      <w:keepLines/>
      <w:suppressAutoHyphens w:val="0"/>
      <w:spacing w:before="200" w:after="0" w:line="480" w:lineRule="auto"/>
      <w:outlineLvl w:val="5"/>
    </w:pPr>
    <w:rPr>
      <w:rFonts w:eastAsiaTheme="majorEastAsia" w:cstheme="majorBidi"/>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E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770EE6"/>
    <w:rPr>
      <w:rFonts w:ascii="Times New Roman" w:eastAsiaTheme="majorEastAsia" w:hAnsi="Times New Roman" w:cs="Times New Roman"/>
      <w:b/>
      <w:bCs/>
      <w:szCs w:val="26"/>
    </w:rPr>
  </w:style>
  <w:style w:type="character" w:customStyle="1" w:styleId="Heading3Char">
    <w:name w:val="Heading 3 Char"/>
    <w:basedOn w:val="DefaultParagraphFont"/>
    <w:link w:val="Heading3"/>
    <w:uiPriority w:val="9"/>
    <w:rsid w:val="00770EE6"/>
    <w:rPr>
      <w:rFonts w:ascii="Times New Roman" w:eastAsiaTheme="majorEastAsia" w:hAnsi="Times New Roman" w:cs="Times New Roman"/>
      <w:b/>
      <w:bCs/>
    </w:rPr>
  </w:style>
  <w:style w:type="character" w:customStyle="1" w:styleId="Heading4Char">
    <w:name w:val="Heading 4 Char"/>
    <w:basedOn w:val="DefaultParagraphFont"/>
    <w:link w:val="Heading4"/>
    <w:uiPriority w:val="9"/>
    <w:rsid w:val="00770EE6"/>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770EE6"/>
    <w:rPr>
      <w:rFonts w:ascii="Times New Roman" w:eastAsiaTheme="majorEastAsia" w:hAnsi="Times New Roman" w:cstheme="majorBidi"/>
      <w:b/>
      <w:i/>
    </w:rPr>
  </w:style>
  <w:style w:type="character" w:customStyle="1" w:styleId="Heading6Char">
    <w:name w:val="Heading 6 Char"/>
    <w:basedOn w:val="DefaultParagraphFont"/>
    <w:link w:val="Heading6"/>
    <w:uiPriority w:val="9"/>
    <w:rsid w:val="00770EE6"/>
    <w:rPr>
      <w:rFonts w:ascii="Times New Roman" w:eastAsiaTheme="majorEastAsia" w:hAnsi="Times New Roman" w:cstheme="majorBidi"/>
      <w:i/>
      <w:iCs/>
    </w:rPr>
  </w:style>
  <w:style w:type="character" w:styleId="Hyperlink">
    <w:name w:val="Hyperlink"/>
    <w:basedOn w:val="DefaultParagraphFont"/>
    <w:uiPriority w:val="99"/>
    <w:rsid w:val="00C867A5"/>
  </w:style>
  <w:style w:type="paragraph" w:styleId="Header">
    <w:name w:val="header"/>
    <w:basedOn w:val="Normal"/>
    <w:link w:val="HeaderChar"/>
    <w:rsid w:val="00C867A5"/>
    <w:pPr>
      <w:tabs>
        <w:tab w:val="center" w:pos="4680"/>
        <w:tab w:val="right" w:pos="9360"/>
      </w:tabs>
      <w:spacing w:after="0" w:line="240" w:lineRule="auto"/>
    </w:pPr>
  </w:style>
  <w:style w:type="character" w:customStyle="1" w:styleId="HeaderChar">
    <w:name w:val="Header Char"/>
    <w:basedOn w:val="DefaultParagraphFont"/>
    <w:link w:val="Header"/>
    <w:rsid w:val="00C867A5"/>
    <w:rPr>
      <w:rFonts w:ascii="Times New Roman" w:eastAsia="Times New Roman" w:hAnsi="Times New Roman" w:cs="Times New Roman"/>
      <w:sz w:val="20"/>
      <w:szCs w:val="20"/>
    </w:rPr>
  </w:style>
  <w:style w:type="paragraph" w:styleId="Footer">
    <w:name w:val="footer"/>
    <w:basedOn w:val="Normal"/>
    <w:link w:val="FooterChar"/>
    <w:rsid w:val="00C867A5"/>
    <w:pPr>
      <w:tabs>
        <w:tab w:val="center" w:pos="4680"/>
        <w:tab w:val="right" w:pos="9360"/>
      </w:tabs>
      <w:spacing w:after="0" w:line="240" w:lineRule="auto"/>
    </w:pPr>
  </w:style>
  <w:style w:type="character" w:customStyle="1" w:styleId="FooterChar">
    <w:name w:val="Footer Char"/>
    <w:basedOn w:val="DefaultParagraphFont"/>
    <w:link w:val="Footer"/>
    <w:rsid w:val="00C867A5"/>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867A5"/>
  </w:style>
  <w:style w:type="paragraph" w:styleId="BalloonText">
    <w:name w:val="Balloon Text"/>
    <w:basedOn w:val="Normal"/>
    <w:link w:val="BalloonTextChar"/>
    <w:uiPriority w:val="99"/>
    <w:semiHidden/>
    <w:unhideWhenUsed/>
    <w:rsid w:val="00C867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7A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67A5"/>
    <w:rPr>
      <w:sz w:val="18"/>
      <w:szCs w:val="18"/>
    </w:rPr>
  </w:style>
  <w:style w:type="paragraph" w:styleId="CommentText">
    <w:name w:val="annotation text"/>
    <w:basedOn w:val="Normal"/>
    <w:link w:val="CommentTextChar"/>
    <w:uiPriority w:val="99"/>
    <w:semiHidden/>
    <w:unhideWhenUsed/>
    <w:rsid w:val="00C867A5"/>
    <w:pPr>
      <w:spacing w:line="240" w:lineRule="auto"/>
    </w:pPr>
    <w:rPr>
      <w:sz w:val="24"/>
      <w:szCs w:val="24"/>
    </w:rPr>
  </w:style>
  <w:style w:type="character" w:customStyle="1" w:styleId="CommentTextChar">
    <w:name w:val="Comment Text Char"/>
    <w:basedOn w:val="DefaultParagraphFont"/>
    <w:link w:val="CommentText"/>
    <w:uiPriority w:val="99"/>
    <w:semiHidden/>
    <w:rsid w:val="00C867A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867A5"/>
    <w:rPr>
      <w:b/>
      <w:bCs/>
      <w:sz w:val="20"/>
      <w:szCs w:val="20"/>
    </w:rPr>
  </w:style>
  <w:style w:type="character" w:customStyle="1" w:styleId="CommentSubjectChar">
    <w:name w:val="Comment Subject Char"/>
    <w:basedOn w:val="CommentTextChar"/>
    <w:link w:val="CommentSubject"/>
    <w:uiPriority w:val="99"/>
    <w:semiHidden/>
    <w:rsid w:val="00C867A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86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201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5.xml"/><Relationship Id="rId18" Type="http://schemas.openxmlformats.org/officeDocument/2006/relationships/hyperlink" Target="http://www.edrev.info/contribute.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2.jpg"/><Relationship Id="rId10" Type="http://schemas.openxmlformats.org/officeDocument/2006/relationships/header" Target="header4.xml"/><Relationship Id="rId19" Type="http://schemas.openxmlformats.org/officeDocument/2006/relationships/hyperlink" Target="https://www.facebook.com/pages/Education-Review/178358222192644"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Libell</dc:creator>
  <cp:keywords/>
  <dc:description/>
  <cp:lastModifiedBy>Currin,Elizabeth R</cp:lastModifiedBy>
  <cp:revision>4</cp:revision>
  <dcterms:created xsi:type="dcterms:W3CDTF">2016-11-05T16:58:00Z</dcterms:created>
  <dcterms:modified xsi:type="dcterms:W3CDTF">2016-11-21T19:41:00Z</dcterms:modified>
</cp:coreProperties>
</file>