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26" w:rsidRPr="00F13395" w:rsidRDefault="005978C4">
      <w:pPr>
        <w:tabs>
          <w:tab w:val="right" w:pos="9360"/>
        </w:tabs>
        <w:spacing w:after="0"/>
        <w:ind w:right="-180"/>
        <w:rPr>
          <w:rFonts w:ascii="Garamond" w:eastAsia="Garamond" w:hAnsi="Garamond" w:cs="Garamond"/>
          <w:i/>
          <w:color w:val="C94909"/>
          <w:sz w:val="24"/>
          <w:szCs w:val="24"/>
          <w:lang w:val="pt-PT"/>
        </w:rPr>
      </w:pPr>
      <w:proofErr w:type="spellStart"/>
      <w:r w:rsidRPr="00F13395">
        <w:rPr>
          <w:rFonts w:ascii="Garamond" w:eastAsia="Garamond" w:hAnsi="Garamond" w:cs="Garamond"/>
          <w:sz w:val="24"/>
          <w:szCs w:val="24"/>
          <w:highlight w:val="cyan"/>
          <w:lang w:val="pt-PT"/>
        </w:rPr>
        <w:t>EdRev</w:t>
      </w:r>
      <w:proofErr w:type="spellEnd"/>
      <w:r w:rsidRPr="00F13395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 colocará a data</w:t>
      </w:r>
      <w:r w:rsidRPr="00F13395">
        <w:rPr>
          <w:rFonts w:ascii="Garamond" w:eastAsia="Garamond" w:hAnsi="Garamond" w:cs="Garamond"/>
          <w:sz w:val="24"/>
          <w:szCs w:val="24"/>
          <w:lang w:val="pt-PT"/>
        </w:rPr>
        <w:tab/>
        <w:t>ISSN 1094-5296</w:t>
      </w:r>
    </w:p>
    <w:p w:rsidR="005C2D26" w:rsidRPr="00F13395" w:rsidRDefault="005C2D26">
      <w:pPr>
        <w:spacing w:after="0"/>
        <w:ind w:right="-180"/>
        <w:rPr>
          <w:rFonts w:ascii="Garamond" w:eastAsia="Garamond" w:hAnsi="Garamond" w:cs="Garamond"/>
          <w:sz w:val="24"/>
          <w:szCs w:val="24"/>
          <w:lang w:val="pt-PT"/>
        </w:rPr>
      </w:pPr>
    </w:p>
    <w:tbl>
      <w:tblPr>
        <w:tblStyle w:val="a"/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5C2D26" w:rsidRPr="00BB40E3">
        <w:tc>
          <w:tcPr>
            <w:tcW w:w="9360" w:type="dxa"/>
            <w:shd w:val="clear" w:color="auto" w:fill="FFE645"/>
          </w:tcPr>
          <w:p w:rsidR="005C2D26" w:rsidRPr="00F13395" w:rsidRDefault="005C2D26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  <w:lang w:val="pt-PT"/>
              </w:rPr>
            </w:pPr>
          </w:p>
          <w:p w:rsidR="005C2D26" w:rsidRPr="009C7B7E" w:rsidRDefault="00BB40E3">
            <w:pPr>
              <w:spacing w:after="0" w:line="240" w:lineRule="auto"/>
              <w:ind w:left="720" w:hanging="720"/>
              <w:rPr>
                <w:rFonts w:ascii="Garamond" w:eastAsia="Garamond" w:hAnsi="Garamond" w:cs="Garamond"/>
                <w:b/>
                <w:sz w:val="28"/>
                <w:szCs w:val="28"/>
                <w:lang w:val="pt-PT"/>
              </w:rPr>
            </w:pPr>
            <w:r w:rsidRPr="009C7B7E">
              <w:rPr>
                <w:rFonts w:ascii="Garamond" w:eastAsia="Garamond" w:hAnsi="Garamond" w:cs="Garamond"/>
                <w:b/>
                <w:sz w:val="28"/>
                <w:szCs w:val="28"/>
                <w:lang w:val="pt-PT"/>
              </w:rPr>
              <w:t xml:space="preserve">MOROSINI, M. </w:t>
            </w:r>
            <w:r w:rsidRPr="009C7B7E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pt-PT"/>
              </w:rPr>
              <w:t>Enciclopédia Brasileira de Educação Superior (V1, V2)</w:t>
            </w:r>
            <w:r w:rsidRPr="009C7B7E">
              <w:rPr>
                <w:rFonts w:ascii="Garamond" w:eastAsia="Garamond" w:hAnsi="Garamond" w:cs="Garamond"/>
                <w:b/>
                <w:sz w:val="28"/>
                <w:szCs w:val="28"/>
                <w:lang w:val="pt-PT"/>
              </w:rPr>
              <w:t xml:space="preserve">. Porto Alegre-RS-Brasil: </w:t>
            </w:r>
            <w:proofErr w:type="spellStart"/>
            <w:r w:rsidRPr="009C7B7E">
              <w:rPr>
                <w:rFonts w:ascii="Garamond" w:eastAsia="Garamond" w:hAnsi="Garamond" w:cs="Garamond"/>
                <w:b/>
                <w:sz w:val="28"/>
                <w:szCs w:val="28"/>
                <w:lang w:val="pt-PT"/>
              </w:rPr>
              <w:t>EdiPucRs</w:t>
            </w:r>
            <w:proofErr w:type="spellEnd"/>
            <w:r w:rsidRPr="009C7B7E">
              <w:rPr>
                <w:rFonts w:ascii="Garamond" w:eastAsia="Garamond" w:hAnsi="Garamond" w:cs="Garamond"/>
                <w:b/>
                <w:sz w:val="28"/>
                <w:szCs w:val="28"/>
                <w:lang w:val="pt-PT"/>
              </w:rPr>
              <w:t>, 2021.</w:t>
            </w:r>
          </w:p>
          <w:p w:rsidR="005C2D26" w:rsidRPr="009C7B7E" w:rsidRDefault="005C2D26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  <w:lang w:val="pt-PT"/>
              </w:rPr>
            </w:pPr>
          </w:p>
          <w:p w:rsidR="009C7B7E" w:rsidRPr="009C7B7E" w:rsidRDefault="00BB40E3" w:rsidP="009C7B7E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  <w:lang w:val="pt-PT"/>
              </w:rPr>
            </w:pPr>
            <w:r w:rsidRPr="009C7B7E">
              <w:rPr>
                <w:rFonts w:ascii="Garamond" w:eastAsia="Garamond" w:hAnsi="Garamond" w:cs="Garamond"/>
                <w:sz w:val="24"/>
                <w:szCs w:val="24"/>
                <w:lang w:val="pt-PT"/>
              </w:rPr>
              <w:t xml:space="preserve">505 + 449 </w:t>
            </w:r>
            <w:proofErr w:type="gramStart"/>
            <w:r w:rsidR="005978C4" w:rsidRPr="009C7B7E">
              <w:rPr>
                <w:rFonts w:ascii="Garamond" w:eastAsia="Garamond" w:hAnsi="Garamond" w:cs="Garamond"/>
                <w:sz w:val="24"/>
                <w:szCs w:val="24"/>
                <w:lang w:val="pt-PT"/>
              </w:rPr>
              <w:t>páginas</w:t>
            </w:r>
            <w:proofErr w:type="gramEnd"/>
            <w:r w:rsidR="005978C4" w:rsidRPr="009C7B7E">
              <w:rPr>
                <w:rFonts w:ascii="Garamond" w:eastAsia="Garamond" w:hAnsi="Garamond" w:cs="Garamond"/>
                <w:sz w:val="24"/>
                <w:szCs w:val="24"/>
                <w:lang w:val="pt-PT"/>
              </w:rPr>
              <w:t xml:space="preserve">                                                                               ISBN: </w:t>
            </w:r>
            <w:r w:rsidR="009C7B7E" w:rsidRPr="009C7B7E">
              <w:rPr>
                <w:rFonts w:ascii="Garamond" w:eastAsia="Garamond" w:hAnsi="Garamond" w:cs="Garamond"/>
                <w:sz w:val="24"/>
                <w:szCs w:val="24"/>
                <w:lang w:val="pt-PT"/>
              </w:rPr>
              <w:t>978-65-5623-009-2</w:t>
            </w:r>
          </w:p>
          <w:p w:rsidR="005C2D26" w:rsidRPr="00BB40E3" w:rsidRDefault="009C7B7E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  <w:lang w:val="pt-PT"/>
              </w:rPr>
            </w:pPr>
            <w:r w:rsidRPr="009C7B7E">
              <w:rPr>
                <w:rFonts w:ascii="Garamond" w:eastAsia="Garamond" w:hAnsi="Garamond" w:cs="Garamond"/>
                <w:sz w:val="24"/>
                <w:szCs w:val="24"/>
                <w:lang w:val="pt-PT"/>
              </w:rPr>
              <w:t xml:space="preserve">                                                                                                           ISBN: 978-65-5623-010-8</w:t>
            </w:r>
          </w:p>
          <w:p w:rsidR="005C2D26" w:rsidRPr="00BB40E3" w:rsidRDefault="005978C4">
            <w:pPr>
              <w:spacing w:after="0" w:line="240" w:lineRule="auto"/>
              <w:rPr>
                <w:rFonts w:ascii="Garamond" w:eastAsia="Garamond" w:hAnsi="Garamond" w:cs="Garamond"/>
                <w:sz w:val="24"/>
                <w:szCs w:val="24"/>
                <w:lang w:val="pt-PT"/>
              </w:rPr>
            </w:pPr>
            <w:r w:rsidRPr="00BB40E3">
              <w:rPr>
                <w:rFonts w:ascii="Garamond" w:eastAsia="Garamond" w:hAnsi="Garamond" w:cs="Garamond"/>
                <w:sz w:val="24"/>
                <w:szCs w:val="24"/>
                <w:lang w:val="pt-PT"/>
              </w:rPr>
              <w:t xml:space="preserve">               </w:t>
            </w:r>
          </w:p>
        </w:tc>
      </w:tr>
    </w:tbl>
    <w:p w:rsidR="005C2D26" w:rsidRPr="00BB40E3" w:rsidRDefault="005C2D26">
      <w:pPr>
        <w:rPr>
          <w:rFonts w:ascii="Garamond" w:eastAsia="Garamond" w:hAnsi="Garamond" w:cs="Garamond"/>
          <w:sz w:val="24"/>
          <w:szCs w:val="24"/>
          <w:lang w:val="pt-PT"/>
        </w:rPr>
        <w:sectPr w:rsidR="005C2D26" w:rsidRPr="00BB40E3">
          <w:headerReference w:type="even" r:id="rId8"/>
          <w:head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5C2D26" w:rsidRPr="00BB40E3" w:rsidRDefault="005C2D26">
      <w:pPr>
        <w:spacing w:after="0" w:line="240" w:lineRule="auto"/>
        <w:rPr>
          <w:rFonts w:ascii="Garamond" w:eastAsia="Garamond" w:hAnsi="Garamond" w:cs="Garamond"/>
          <w:b/>
          <w:sz w:val="24"/>
          <w:szCs w:val="24"/>
          <w:lang w:val="pt-PT"/>
        </w:rPr>
        <w:sectPr w:rsidR="005C2D26" w:rsidRPr="00BB40E3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1350" w:bottom="1440" w:left="1440" w:header="720" w:footer="720" w:gutter="0"/>
          <w:cols w:space="720"/>
          <w:titlePg/>
        </w:sectPr>
      </w:pPr>
    </w:p>
    <w:p w:rsidR="005C2D26" w:rsidRDefault="005978C4">
      <w:pPr>
        <w:spacing w:after="0" w:line="240" w:lineRule="auto"/>
        <w:rPr>
          <w:rFonts w:ascii="Garamond" w:eastAsia="Garamond" w:hAnsi="Garamond" w:cs="Garamond"/>
          <w:b/>
          <w:sz w:val="24"/>
          <w:szCs w:val="24"/>
        </w:rPr>
      </w:pPr>
      <w:proofErr w:type="spellStart"/>
      <w:r>
        <w:rPr>
          <w:rFonts w:ascii="Garamond" w:eastAsia="Garamond" w:hAnsi="Garamond" w:cs="Garamond"/>
          <w:b/>
          <w:sz w:val="24"/>
          <w:szCs w:val="24"/>
        </w:rPr>
        <w:lastRenderedPageBreak/>
        <w:t>Resenhado</w:t>
      </w:r>
      <w:proofErr w:type="spellEnd"/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4"/>
          <w:szCs w:val="24"/>
        </w:rPr>
        <w:t>por</w:t>
      </w:r>
      <w:proofErr w:type="spellEnd"/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BB40E3">
        <w:rPr>
          <w:rFonts w:ascii="Garamond" w:eastAsia="Garamond" w:hAnsi="Garamond" w:cs="Garamond"/>
          <w:b/>
          <w:sz w:val="24"/>
          <w:szCs w:val="24"/>
        </w:rPr>
        <w:t>Isabel Pinho</w:t>
      </w:r>
    </w:p>
    <w:p w:rsidR="005C2D26" w:rsidRDefault="00BB40E3">
      <w:pPr>
        <w:spacing w:after="0" w:line="240" w:lineRule="auto"/>
        <w:rPr>
          <w:rFonts w:ascii="Garamond" w:eastAsia="Garamond" w:hAnsi="Garamond" w:cs="Garamond"/>
          <w:b/>
          <w:sz w:val="24"/>
          <w:szCs w:val="24"/>
        </w:rPr>
      </w:pPr>
      <w:proofErr w:type="spellStart"/>
      <w:r>
        <w:rPr>
          <w:rFonts w:ascii="Garamond" w:eastAsia="Garamond" w:hAnsi="Garamond" w:cs="Garamond"/>
          <w:b/>
          <w:sz w:val="24"/>
          <w:szCs w:val="24"/>
        </w:rPr>
        <w:t>Universidade</w:t>
      </w:r>
      <w:proofErr w:type="spellEnd"/>
      <w:r>
        <w:rPr>
          <w:rFonts w:ascii="Garamond" w:eastAsia="Garamond" w:hAnsi="Garamond" w:cs="Garamond"/>
          <w:b/>
          <w:sz w:val="24"/>
          <w:szCs w:val="24"/>
        </w:rPr>
        <w:t xml:space="preserve"> de </w:t>
      </w:r>
      <w:proofErr w:type="spellStart"/>
      <w:r>
        <w:rPr>
          <w:rFonts w:ascii="Garamond" w:eastAsia="Garamond" w:hAnsi="Garamond" w:cs="Garamond"/>
          <w:b/>
          <w:sz w:val="24"/>
          <w:szCs w:val="24"/>
        </w:rPr>
        <w:t>Aveiro</w:t>
      </w:r>
      <w:proofErr w:type="spellEnd"/>
    </w:p>
    <w:p w:rsidR="005C2D26" w:rsidRDefault="005978C4">
      <w:pPr>
        <w:spacing w:after="0" w:line="240" w:lineRule="auto"/>
        <w:rPr>
          <w:rFonts w:ascii="Garamond" w:eastAsia="Garamond" w:hAnsi="Garamond" w:cs="Garamond"/>
          <w:b/>
          <w:sz w:val="24"/>
          <w:szCs w:val="24"/>
        </w:rPr>
        <w:sectPr w:rsidR="005C2D26">
          <w:type w:val="continuous"/>
          <w:pgSz w:w="12240" w:h="15840"/>
          <w:pgMar w:top="1440" w:right="1350" w:bottom="1440" w:left="1440" w:header="720" w:footer="720" w:gutter="0"/>
          <w:cols w:space="720"/>
          <w:titlePg/>
        </w:sectPr>
      </w:pPr>
      <w:r>
        <w:rPr>
          <w:noProof/>
          <w:lang w:val="pt-PT"/>
        </w:rPr>
        <mc:AlternateContent>
          <mc:Choice Requires="wps">
            <w:drawing>
              <wp:anchor distT="182880" distB="182880" distL="114300" distR="114300" simplePos="0" relativeHeight="251658240" behindDoc="0" locked="0" layoutInCell="1" hidden="0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462280</wp:posOffset>
                </wp:positionV>
                <wp:extent cx="2799080" cy="4048125"/>
                <wp:effectExtent l="0" t="0" r="0" b="0"/>
                <wp:wrapSquare wrapText="bothSides" distT="182880" distB="182880" distL="114300" distR="114300"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1223" y="1760700"/>
                          <a:ext cx="2789555" cy="40386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C2D26" w:rsidRPr="00F13395" w:rsidRDefault="00F13395">
                            <w:pPr>
                              <w:spacing w:line="275" w:lineRule="auto"/>
                              <w:textDirection w:val="btLr"/>
                              <w:rPr>
                                <w:lang w:val="pt-PT"/>
                              </w:rPr>
                            </w:pPr>
                            <w:r w:rsidRPr="00F13395">
                              <w:rPr>
                                <w:noProof/>
                                <w:lang w:val="pt-PT"/>
                              </w:rPr>
                              <w:drawing>
                                <wp:inline distT="0" distB="0" distL="0" distR="0">
                                  <wp:extent cx="2607310" cy="3023110"/>
                                  <wp:effectExtent l="0" t="0" r="2540" b="6350"/>
                                  <wp:docPr id="1" name="Imagem 1" descr="C:\Users\Isabel\Documents\Tarefas\Tarefas_2022\10_ebes_RESENHA\FIGURAS\enciclopédia-livro - JPE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Isabel\Documents\Tarefas\Tarefas_2022\10_ebes_RESENHA\FIGURAS\enciclopédia-livro - JPE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7310" cy="3023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2" o:spid="_x0000_s1026" style="position:absolute;margin-left:248pt;margin-top:36.4pt;width:220.4pt;height:318.75pt;z-index:251658240;visibility:visible;mso-wrap-style:square;mso-wrap-distance-left:9pt;mso-wrap-distance-top:14.4pt;mso-wrap-distance-right:9pt;mso-wrap-distance-bottom:14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" filled="f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5C2D26" w:rsidRPr="00F13395" w:rsidRDefault="00F13395">
                      <w:pPr>
                        <w:spacing w:line="275" w:lineRule="auto"/>
                        <w:textDirection w:val="btLr"/>
                        <w:rPr>
                          <w:lang w:val="pt-PT"/>
                        </w:rPr>
                      </w:pPr>
                      <w:r w:rsidRPr="00F13395">
                        <w:rPr>
                          <w:noProof/>
                          <w:lang w:val="pt-PT"/>
                        </w:rPr>
                        <w:drawing>
                          <wp:inline distT="0" distB="0" distL="0" distR="0">
                            <wp:extent cx="2607310" cy="3023110"/>
                            <wp:effectExtent l="0" t="0" r="2540" b="6350"/>
                            <wp:docPr id="1" name="Imagem 1" descr="C:\Users\Isabel\Documents\Tarefas\Tarefas_2022\10_ebes_RESENHA\FIGURAS\enciclopédia-livro - JPE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Isabel\Documents\Tarefas\Tarefas_2022\10_ebes_RESENHA\FIGURAS\enciclopédia-livro - JPE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7310" cy="3023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BB40E3">
        <w:rPr>
          <w:rFonts w:ascii="Garamond" w:eastAsia="Garamond" w:hAnsi="Garamond" w:cs="Garamond"/>
          <w:b/>
          <w:sz w:val="24"/>
          <w:szCs w:val="24"/>
        </w:rPr>
        <w:t>Portugal</w:t>
      </w:r>
    </w:p>
    <w:p w:rsidR="005C2D26" w:rsidRDefault="005C2D26">
      <w:pPr>
        <w:spacing w:after="0" w:line="240" w:lineRule="auto"/>
        <w:rPr>
          <w:rFonts w:ascii="Garamond" w:eastAsia="Garamond" w:hAnsi="Garamond" w:cs="Garamond"/>
          <w:b/>
          <w:sz w:val="28"/>
          <w:szCs w:val="28"/>
        </w:rPr>
      </w:pPr>
    </w:p>
    <w:p w:rsidR="00F13395" w:rsidRPr="00F13395" w:rsidRDefault="00F13395" w:rsidP="00F13395">
      <w:pPr>
        <w:spacing w:after="0" w:line="240" w:lineRule="auto"/>
        <w:ind w:firstLine="360"/>
        <w:rPr>
          <w:rFonts w:ascii="Garamond" w:eastAsia="Garamond" w:hAnsi="Garamond" w:cs="Garamond"/>
          <w:b/>
          <w:color w:val="000000"/>
          <w:sz w:val="24"/>
          <w:szCs w:val="24"/>
          <w:lang w:val="pt-PT"/>
        </w:rPr>
      </w:pPr>
      <w:r w:rsidRPr="00F13395">
        <w:rPr>
          <w:rFonts w:ascii="Garamond" w:eastAsia="Garamond" w:hAnsi="Garamond" w:cs="Garamond"/>
          <w:b/>
          <w:color w:val="000000"/>
          <w:sz w:val="24"/>
          <w:szCs w:val="24"/>
          <w:lang w:val="pt-PT"/>
        </w:rPr>
        <w:t>Introdução</w:t>
      </w:r>
    </w:p>
    <w:p w:rsidR="00F13395" w:rsidRPr="00F13395" w:rsidRDefault="00F13395" w:rsidP="00F13395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r w:rsidRPr="00F13395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A construção desta Enciclopédia Brasileira de Educação Superior (EBES) resultou de um acumular de conhecimento, emergente da experiência de variados professores-pesquisadores. Sob a coordenação da Professora Marília Morosini diversos especialistas, do dinâmico campo da Educação Superior, interagiram e decantaram a essência do que constitui a sua base teórica. </w:t>
      </w:r>
    </w:p>
    <w:p w:rsidR="00F13395" w:rsidRPr="00F13395" w:rsidRDefault="00F13395" w:rsidP="00F13395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r w:rsidRPr="00F13395">
        <w:rPr>
          <w:rFonts w:ascii="Garamond" w:eastAsia="Garamond" w:hAnsi="Garamond" w:cs="Garamond"/>
          <w:color w:val="000000"/>
          <w:sz w:val="24"/>
          <w:szCs w:val="24"/>
          <w:lang w:val="pt-PT"/>
        </w:rPr>
        <w:t>Trata-se de um precioso recurso a ser explorado. Compete a cada um de nós valorizar este recurso através da sua consulta e leitura. Esta Enciclopédia tem essa dupla entrada: a clássica entrada pelo seu índice temático (por ordem alfabética e desdobramento dos temas) como pela possibilidade de leitura capítulo a capítulo numa sequência coerente e estruturante.</w:t>
      </w:r>
    </w:p>
    <w:p w:rsidR="001C2C71" w:rsidRPr="001C2C71" w:rsidRDefault="00F13395" w:rsidP="001C2C71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r w:rsidRPr="00F13395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Esta obra, escrita em língua portuguesa, permite o acesso aberto a conteúdos atuais. Vários públicos-alvo serão beneficiados pelo seu uso. Professores, alunos, pesquisadores, técnicos, gestores, líderes organizacionais e </w:t>
      </w:r>
      <w:r w:rsidRPr="00F13395">
        <w:rPr>
          <w:rFonts w:ascii="Garamond" w:eastAsia="Garamond" w:hAnsi="Garamond" w:cs="Garamond"/>
          <w:color w:val="000000"/>
          <w:sz w:val="24"/>
          <w:szCs w:val="24"/>
          <w:lang w:val="pt-PT"/>
        </w:rPr>
        <w:lastRenderedPageBreak/>
        <w:t xml:space="preserve">políticos serão por certo seus utilizadores. Práticas em sala de aula, pesquisa em rede, gestão eficaz e liderança partilhada serão alguns dos impactos da recolha de informação, na presente Enciclopédia. Também os processos de tomada de decisão baseados na evidência serão fortalecidos, tanto a nível institucional como a nível governamental. </w:t>
      </w:r>
      <w:r w:rsidR="001C2C71"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O seu rico conteúdo é um meio de aprender. Para além dos vários ensinamentos, é de referir outro ensinamento que a EBES nos fornece, através do seu próprio processo de construção. Vários autores conseguiram condensar o seu conhecimento acumulado e através da partilha e de interação com os colegas das suas múltiplas redes, integraram e alinharam esses múltiplos contributos numa </w:t>
      </w:r>
      <w:proofErr w:type="spellStart"/>
      <w:r w:rsidR="001C2C71"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t>co-criação</w:t>
      </w:r>
      <w:proofErr w:type="spellEnd"/>
      <w:r w:rsidR="001C2C71"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 de conhecimento agora disseminado globalmente.   </w:t>
      </w:r>
    </w:p>
    <w:p w:rsidR="001C2C71" w:rsidRPr="001C2C71" w:rsidRDefault="001C2C71" w:rsidP="001C2C71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r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Este esforço de síntese, de oito temas do complexo campo da Educação Superior, não contempla toda a sua extensão. É uma contribuição para o mapeamento dinâmico deste campo que futuramente pode ser concretizado com a leitura, uso e </w:t>
      </w:r>
      <w:proofErr w:type="spellStart"/>
      <w:r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t>co-construção</w:t>
      </w:r>
      <w:proofErr w:type="spellEnd"/>
      <w:r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 de conhecimento dos seus diversos utilizadores.  </w:t>
      </w:r>
    </w:p>
    <w:p w:rsidR="001C2C71" w:rsidRPr="001C2C71" w:rsidRDefault="001C2C71" w:rsidP="001C2C71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r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A melhor maneira de valorizar esta obra coletiva da pós-graduação brasileira é usá-la, criticá-la e disseminá-la em todos os países. Assim, todos podemos contribuir para o crescente impacto da pesquisa realizada pelos investigadores que falam, escrevem e leem nesta língua franca da pesquisa mundial, que é a língua portuguesa.  </w:t>
      </w:r>
    </w:p>
    <w:p w:rsidR="001C2C71" w:rsidRPr="001C2C71" w:rsidRDefault="001C2C71" w:rsidP="001C2C71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</w:p>
    <w:p w:rsidR="001C2C71" w:rsidRPr="001C2C71" w:rsidRDefault="001C2C71" w:rsidP="001C2C71">
      <w:pPr>
        <w:spacing w:after="0" w:line="240" w:lineRule="auto"/>
        <w:ind w:firstLine="360"/>
        <w:rPr>
          <w:rFonts w:ascii="Garamond" w:eastAsia="Garamond" w:hAnsi="Garamond" w:cs="Garamond"/>
          <w:b/>
          <w:color w:val="000000"/>
          <w:sz w:val="24"/>
          <w:szCs w:val="24"/>
          <w:lang w:val="pt-PT"/>
        </w:rPr>
      </w:pPr>
      <w:r w:rsidRPr="001C2C71">
        <w:rPr>
          <w:rFonts w:ascii="Garamond" w:eastAsia="Garamond" w:hAnsi="Garamond" w:cs="Garamond"/>
          <w:b/>
          <w:color w:val="000000"/>
          <w:sz w:val="24"/>
          <w:szCs w:val="24"/>
          <w:lang w:val="pt-PT"/>
        </w:rPr>
        <w:t>Guia para o leitor</w:t>
      </w:r>
    </w:p>
    <w:p w:rsidR="001C2C71" w:rsidRPr="001C2C71" w:rsidRDefault="001C2C71" w:rsidP="001C2C71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r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A Enciclopédia está organizada em dois volumes, onde oito temas se apresentam com uma coerência interna que nos proporciona uma exploração guiada e uma leitura cativante </w:t>
      </w:r>
      <w:r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begin"/>
      </w:r>
      <w:r w:rsidR="00BB40E3">
        <w:rPr>
          <w:rFonts w:ascii="Garamond" w:eastAsia="Garamond" w:hAnsi="Garamond" w:cs="Garamond"/>
          <w:color w:val="000000"/>
          <w:sz w:val="24"/>
          <w:szCs w:val="24"/>
          <w:lang w:val="pt-PT"/>
        </w:rPr>
        <w:instrText xml:space="preserve"> ADDIN EN.CITE &lt;EndNote&gt;&lt;Cite&gt;&lt;Author&gt;Morosini&lt;/Author&gt;&lt;Year&gt;2021&lt;/Year&gt;&lt;RecNum&gt;26405&lt;/RecNum&gt;&lt;DisplayText&gt;(Morosini, 2021a; b)&lt;/DisplayText&gt;&lt;record&gt;&lt;rec-number&gt;26405&lt;/rec-number&gt;&lt;foreign-keys&gt;&lt;key app="EN" db-id="ta0wppatztdav3e59zup5s575zxdsed50erz" timestamp="1631710903"&gt;26405&lt;/key&gt;&lt;/foreign-keys&gt;&lt;ref-type name="Book"&gt;6&lt;/ref-type&gt;&lt;contributors&gt;&lt;authors&gt;&lt;author&gt;Morosini, Marília&lt;/author&gt;&lt;/authors&gt;&lt;/contributors&gt;&lt;titles&gt;&lt;title&gt;Enciclopédia Brasileira de Educação Superior (V1)&lt;/title&gt;&lt;/titles&gt;&lt;pages&gt;505&lt;/pages&gt;&lt;volume&gt;1&lt;/volume&gt;&lt;dates&gt;&lt;year&gt;2021&lt;/year&gt;&lt;/dates&gt;&lt;pub-location&gt;Porto Alegre-RS-Brasil&lt;/pub-location&gt;&lt;publisher&gt;EdiPucRs&lt;/publisher&gt;&lt;urls&gt;&lt;related-urls&gt;&lt;url&gt;https://editora.pucrs.br/livro/1421/&lt;/url&gt;&lt;/related-urls&gt;&lt;/urls&gt;&lt;/record&gt;&lt;/Cite&gt;&lt;Cite&gt;&lt;Author&gt;Morosini&lt;/Author&gt;&lt;Year&gt;2021&lt;/Year&gt;&lt;RecNum&gt;26406&lt;/RecNum&gt;&lt;record&gt;&lt;rec-number&gt;26406&lt;/rec-number&gt;&lt;foreign-keys&gt;&lt;key app="EN" db-id="ta0wppatztdav3e59zup5s575zxdsed50erz" timestamp="1631776674"&gt;26406&lt;/key&gt;&lt;/foreign-keys&gt;&lt;ref-type name="Book"&gt;6&lt;/ref-type&gt;&lt;contributors&gt;&lt;authors&gt;&lt;author&gt;Morosini, Marília&lt;/author&gt;&lt;/authors&gt;&lt;/contributors&gt;&lt;titles&gt;&lt;title&gt;Enciclopédia Brasileira de Educação Superior (V2)&lt;/title&gt;&lt;/titles&gt;&lt;volume&gt;2&lt;/volume&gt;&lt;section&gt;449&lt;/section&gt;&lt;dates&gt;&lt;year&gt;2021&lt;/year&gt;&lt;/dates&gt;&lt;pub-location&gt;Porto Alegre-RS-Brasil&lt;/pub-location&gt;&lt;publisher&gt;EdiPucRs&lt;/publisher&gt;&lt;urls&gt;&lt;related-urls&gt;&lt;url&gt;https://editora.pucrs.br/livro/1563/&lt;/url&gt;&lt;/related-urls&gt;&lt;/urls&gt;&lt;/record&gt;&lt;/Cite&gt;&lt;/EndNote&gt;</w:instrText>
      </w:r>
      <w:r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separate"/>
      </w:r>
      <w:r w:rsidR="00BB40E3">
        <w:rPr>
          <w:rFonts w:ascii="Garamond" w:eastAsia="Garamond" w:hAnsi="Garamond" w:cs="Garamond"/>
          <w:noProof/>
          <w:color w:val="000000"/>
          <w:sz w:val="24"/>
          <w:szCs w:val="24"/>
          <w:lang w:val="pt-PT"/>
        </w:rPr>
        <w:t>(Morosini, 2021a; b)</w:t>
      </w:r>
      <w:r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end"/>
      </w:r>
      <w:r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. Estes grandes temas estão explanados de modo simples, em oito capítulos (quatro em cada volume); estes capítulos estão nitidamente delimitados e orientados por um princípio organizador. Assim, para além do seu conteúdo fiável, esta </w:t>
      </w:r>
      <w:r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lastRenderedPageBreak/>
        <w:t xml:space="preserve">Enciclopédia está solidamente construída numa estrutura robusta e coerente. Em simultâneo, com a sua compreensível delimitação, os capítulos estão interconectados e seguem um fluxo de pensamento reflexo do espaço relacional construído ao longo do tempo pelos especialistas da área, que souberam trabalhar juntos com o objetivo comum de disponibilizar esta obra referencial.  </w:t>
      </w:r>
    </w:p>
    <w:p w:rsidR="001C2C71" w:rsidRPr="001C2C71" w:rsidRDefault="001C2C71" w:rsidP="001C2C71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r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t>De notar que para além do tradicional formato impresso, a EBES está acessível de modo grátis através das seguintes ligações:</w:t>
      </w:r>
    </w:p>
    <w:p w:rsidR="001C2C71" w:rsidRPr="001C2C71" w:rsidRDefault="001C2C71" w:rsidP="001C2C71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r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Volume 1 - </w:t>
      </w:r>
      <w:hyperlink r:id="rId19" w:history="1">
        <w:r w:rsidRPr="001C2C71">
          <w:rPr>
            <w:rStyle w:val="Hiperligao"/>
            <w:rFonts w:ascii="Garamond" w:eastAsia="Garamond" w:hAnsi="Garamond" w:cs="Garamond"/>
            <w:sz w:val="24"/>
            <w:szCs w:val="24"/>
            <w:lang w:val="pt-PT"/>
          </w:rPr>
          <w:t>https://editora.pucrs.br/livro/1421/</w:t>
        </w:r>
      </w:hyperlink>
    </w:p>
    <w:p w:rsidR="001C2C71" w:rsidRPr="001C2C71" w:rsidRDefault="001C2C71" w:rsidP="001C2C71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r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Volume 2 - </w:t>
      </w:r>
      <w:hyperlink r:id="rId20" w:tgtFrame="_blank" w:tooltip="URL original: https://editora.pucrs.br/livro/1563/. Clique ou toque se confiar nesta ligação." w:history="1">
        <w:r w:rsidRPr="001C2C71">
          <w:rPr>
            <w:rStyle w:val="Hiperligao"/>
            <w:rFonts w:ascii="Garamond" w:eastAsia="Garamond" w:hAnsi="Garamond" w:cs="Garamond"/>
            <w:sz w:val="24"/>
            <w:szCs w:val="24"/>
            <w:lang w:val="pt-PT"/>
          </w:rPr>
          <w:t>https://editora.pucrs.br/livro/1563/</w:t>
        </w:r>
      </w:hyperlink>
    </w:p>
    <w:p w:rsidR="001C2C71" w:rsidRPr="001C2C71" w:rsidRDefault="001C2C71" w:rsidP="001C2C71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r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t>Em um momento de incerteza, caracterizado por um excesso de informações não estruturadas, ter acesso a uma fonte estruturada de informações é útil. A existência desta Enciclopédia, na área da Educação e da escrita em Português, é relevante para diversos públicos.</w:t>
      </w:r>
    </w:p>
    <w:p w:rsidR="003F0353" w:rsidRDefault="001C2C71" w:rsidP="003F0353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r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Consultar e ler a Enciclopédia Brasileira de Educação Superior é um meio de adquirir conhecimento de modo organizado e clarificador, em temas estruturantes como sejam a Internacionalização, as Políticas, a Gestão, a Avaliação, a História, o Currículo e práticas, bem como a Formação de professores e o Estudante no contexto da Educação Superior (Figura1). </w:t>
      </w:r>
    </w:p>
    <w:p w:rsidR="003F0353" w:rsidRPr="001C2C71" w:rsidRDefault="003F0353" w:rsidP="003F0353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</w:p>
    <w:p w:rsidR="003F0353" w:rsidRPr="00F13395" w:rsidRDefault="003F0353" w:rsidP="003F0353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r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t>Figura 1- Temas estruturantes da EBES</w:t>
      </w:r>
      <w:r w:rsidRPr="00F13395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   </w:t>
      </w:r>
    </w:p>
    <w:p w:rsidR="003F0353" w:rsidRPr="00F13395" w:rsidRDefault="003F0353" w:rsidP="003F0353">
      <w:pPr>
        <w:spacing w:after="0" w:line="240" w:lineRule="auto"/>
        <w:rPr>
          <w:rFonts w:ascii="Garamond" w:eastAsia="Garamond" w:hAnsi="Garamond" w:cs="Garamond"/>
          <w:sz w:val="24"/>
          <w:szCs w:val="24"/>
          <w:highlight w:val="yellow"/>
          <w:lang w:val="pt-PT"/>
        </w:rPr>
      </w:pPr>
    </w:p>
    <w:p w:rsidR="003F0353" w:rsidRPr="00F13395" w:rsidRDefault="00664989" w:rsidP="003F0353">
      <w:pPr>
        <w:spacing w:after="0" w:line="240" w:lineRule="auto"/>
        <w:rPr>
          <w:rFonts w:ascii="Garamond" w:eastAsia="Garamond" w:hAnsi="Garamond" w:cs="Garamond"/>
          <w:sz w:val="24"/>
          <w:szCs w:val="24"/>
          <w:highlight w:val="yellow"/>
          <w:lang w:val="pt-PT"/>
        </w:rPr>
      </w:pPr>
      <w:r w:rsidRPr="00664989">
        <w:rPr>
          <w:rFonts w:ascii="Garamond" w:eastAsia="Garamond" w:hAnsi="Garamond" w:cs="Garamond"/>
          <w:noProof/>
          <w:sz w:val="24"/>
          <w:szCs w:val="24"/>
          <w:lang w:val="pt-PT"/>
        </w:rPr>
        <w:drawing>
          <wp:inline distT="0" distB="0" distL="0" distR="0">
            <wp:extent cx="2771775" cy="1652758"/>
            <wp:effectExtent l="0" t="0" r="0" b="5080"/>
            <wp:docPr id="8" name="Imagem 8" descr="C:\Users\Isabel\Documents\Tarefas\Tarefas_2022\10_ebes_RESENHA\FIGURAS\Imagem2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Isabel\Documents\Tarefas\Tarefas_2022\10_ebes_RESENHA\FIGURAS\Imagem2_JPEG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5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353" w:rsidRPr="00F13395" w:rsidRDefault="003F0353" w:rsidP="003F0353">
      <w:pPr>
        <w:spacing w:after="0" w:line="240" w:lineRule="auto"/>
        <w:rPr>
          <w:rFonts w:ascii="Garamond" w:eastAsia="Garamond" w:hAnsi="Garamond" w:cs="Garamond"/>
          <w:sz w:val="24"/>
          <w:szCs w:val="24"/>
          <w:highlight w:val="yellow"/>
          <w:lang w:val="pt-PT"/>
        </w:rPr>
      </w:pPr>
    </w:p>
    <w:p w:rsidR="003F0353" w:rsidRDefault="003F0353" w:rsidP="003F0353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</w:p>
    <w:p w:rsidR="003F0353" w:rsidRDefault="003F0353" w:rsidP="003F0353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</w:p>
    <w:p w:rsidR="00611048" w:rsidRDefault="00611048" w:rsidP="00611048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r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lastRenderedPageBreak/>
        <w:t xml:space="preserve">Estes oito temas não abarcam todo o território de pesquisa e prática da Educação Superior, mas apontam caminhos e localizam estes temas e suas relações com outros temas emergentes e estruturantes </w:t>
      </w:r>
      <w:r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begin"/>
      </w:r>
      <w:r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instrText xml:space="preserve"> ADDIN EN.CITE &lt;EndNote&gt;&lt;Cite&gt;&lt;Author&gt;Pinho&lt;/Author&gt;&lt;Year&gt;2021&lt;/Year&gt;&lt;RecNum&gt;22786&lt;/RecNum&gt;&lt;DisplayText&gt;(Pinho, 2021)&lt;/DisplayText&gt;&lt;record&gt;&lt;rec-number&gt;22786&lt;/rec-number&gt;&lt;foreign-keys&gt;&lt;key app="EN" db-id="ta0wppatztdav3e59zup5s575zxdsed50erz" timestamp="1630511871"&gt;22786&lt;/key&gt;&lt;/foreign-keys&gt;&lt;ref-type name="Book Section"&gt;5&lt;/ref-type&gt;&lt;contributors&gt;&lt;authors&gt;&lt;author&gt;Pinho, Isabel&lt;/author&gt;&lt;/authors&gt;&lt;secondary-authors&gt;&lt;author&gt;Giovanni Chiuma&lt;/author&gt;&lt;/secondary-authors&gt;&lt;/contributors&gt;&lt;titles&gt;&lt;title&gt;Knowledge Governance in Higher Education Research &lt;/title&gt;&lt;secondary-title&gt;Managing Knowledge in Uncertain Times&lt;/secondary-title&gt;&lt;/titles&gt;&lt;pages&gt;62-70&lt;/pages&gt;&lt;number&gt;International Forum on Knowledge Asset Dynamics&lt;/number&gt;&lt;dates&gt;&lt;year&gt;2021&lt;/year&gt;&lt;pub-dates&gt;&lt;date&gt;1-3 September&lt;/date&gt;&lt;/pub-dates&gt;&lt;/dates&gt;&lt;pub-location&gt;Matera-Italy&lt;/pub-location&gt;&lt;publisher&gt;Arts for Busimess Institute&lt;/publisher&gt;&lt;isbn&gt;978-88-96687-14-7&lt;/isbn&gt;&lt;urls&gt;&lt;related-urls&gt;&lt;url&gt;https://www.ifkad.org/&lt;/url&gt;&lt;/related-urls&gt;&lt;/urls&gt;&lt;custom3&gt;Knowledge in Digital Age&lt;/custom3&gt;&lt;/record&gt;&lt;/Cite&gt;&lt;/EndNote&gt;</w:instrText>
      </w:r>
      <w:r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separate"/>
      </w:r>
      <w:r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t>(Pinho, 2021)</w:t>
      </w:r>
      <w:r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end"/>
      </w:r>
      <w:r w:rsidRPr="001C2C71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. </w:t>
      </w:r>
    </w:p>
    <w:p w:rsidR="003F0353" w:rsidRPr="003F0353" w:rsidRDefault="003F0353" w:rsidP="003F0353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bookmarkStart w:id="0" w:name="_GoBack"/>
      <w:bookmarkEnd w:id="0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Todos os capítulos são atuais e suportados por listas de referências que podem ser usadas como ponto de partida para pesquisadores noviços na sua busca de um referencial nuclear. O modo de leitura de cada capítulo, ou de cada um dos seus conteúdos, vai depender de cada utilizador, do seu conhecimento prévio e dos seus objetivos. Vários caminhos de leitura podem ser percorridos: uma ágil consulta sistemática possibilita encontrar os conceitos numa simples consulta ao seu índice temático; uma leitura cativante leva o leitor a percorrer sequencialmente toda a obra, dando uma panorâmica geral e permitindo. Destes modos o leitor vai construindo o seu conhecimento de modo estruturado e incremental, pelos caminhos que o próprio escolhe para melhorar a sua própria aprendizagem.   </w:t>
      </w:r>
    </w:p>
    <w:p w:rsidR="003F0353" w:rsidRPr="003F0353" w:rsidRDefault="003F0353" w:rsidP="003F0353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Outro ensinamento que a EBES nos fornece é o seu próprio processo de construção. Vários autores conseguiram condensar o seu conhecimento acumulado e através da partilha e de interação com os colegas das suas múltiplas redes, integraram e alinharam esses múltiplos contributos numa </w:t>
      </w:r>
      <w:proofErr w:type="spellStart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co-criação</w:t>
      </w:r>
      <w:proofErr w:type="spellEnd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 de conhecimento agora disseminado globalmente.   </w:t>
      </w:r>
    </w:p>
    <w:p w:rsidR="003F0353" w:rsidRPr="003F0353" w:rsidRDefault="003F0353" w:rsidP="003F0353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O primeiro volume inicia-se com a apresentação feita pela professora Marília Morosini, onde é relatada a trajetória da construção coletiva da Enciclopédia e do tempo necessário para que se obtivesse este resultado.  </w:t>
      </w:r>
    </w:p>
    <w:p w:rsidR="003F0353" w:rsidRPr="003F0353" w:rsidRDefault="003F0353" w:rsidP="003F0353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O primeiro capítulo, intitulado </w:t>
      </w:r>
      <w:r w:rsidRPr="003F0353">
        <w:rPr>
          <w:rFonts w:ascii="Garamond" w:eastAsia="Garamond" w:hAnsi="Garamond" w:cs="Garamond"/>
          <w:b/>
          <w:color w:val="000000"/>
          <w:sz w:val="24"/>
          <w:szCs w:val="24"/>
          <w:lang w:val="pt-PT"/>
        </w:rPr>
        <w:t>Internacionalização da Educação Superior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, dá uma panorâmica deste campo interdisciplinar, da sua evolução e do seu futuro como integrador da pesquisa, ensino e sociedade. Este capítulo é escrito e organizado 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lastRenderedPageBreak/>
        <w:t xml:space="preserve">por Marília Morosini e Marilene Gabriel </w:t>
      </w:r>
      <w:proofErr w:type="spellStart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Dalla</w:t>
      </w:r>
      <w:proofErr w:type="spellEnd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 Corte 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begin"/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instrText xml:space="preserve"> ADDIN EN.CITE &lt;EndNote&gt;&lt;Cite&gt;&lt;Author&gt;Morosini&lt;/Author&gt;&lt;Year&gt;2021&lt;/Year&gt;&lt;RecNum&gt;26412&lt;/RecNum&gt;&lt;DisplayText&gt;(Morosini e Corte, 2021)&lt;/DisplayText&gt;&lt;record&gt;&lt;rec-number&gt;26412&lt;/rec-number&gt;&lt;foreign-keys&gt;&lt;key app="EN" db-id="ta0wppatztdav3e59zup5s575zxdsed50erz" timestamp="1632128111"&gt;26412&lt;/key&gt;&lt;/foreign-keys&gt;&lt;ref-type name="Book Section"&gt;5&lt;/ref-type&gt;&lt;contributors&gt;&lt;authors&gt;&lt;author&gt;Morosini, Marília&lt;/author&gt;&lt;author&gt;Corte, Marilene Gabriel Dalla&lt;/author&gt;&lt;/authors&gt;&lt;secondary-authors&gt;&lt;author&gt;Morosini, Marília&lt;/author&gt;&lt;/secondary-authors&gt;&lt;/contributors&gt;&lt;titles&gt;&lt;title&gt;Internacionalização da Educação Superior&lt;/title&gt;&lt;secondary-title&gt;Enciclopédia Brasileira de Educação Superior (V1)&lt;/secondary-title&gt;&lt;/titles&gt;&lt;pages&gt;35-170&lt;/pages&gt;&lt;volume&gt;1&lt;/volume&gt;&lt;dates&gt;&lt;year&gt;2021&lt;/year&gt;&lt;/dates&gt;&lt;pub-location&gt;Porto Alegre-RS-Brasil&lt;/pub-location&gt;&lt;publisher&gt;EdiPucRs&lt;/publisher&gt;&lt;urls&gt;&lt;related-urls&gt;&lt;url&gt;https://editora.pucrs.br/livro/1421/&lt;/url&gt;&lt;/related-urls&gt;&lt;/urls&gt;&lt;/record&gt;&lt;/Cite&gt;&lt;/EndNote&gt;</w:instrTex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separate"/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(Morosini e Corte, 2021)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end"/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. </w:t>
      </w:r>
    </w:p>
    <w:p w:rsidR="003F0353" w:rsidRPr="003F0353" w:rsidRDefault="003F0353" w:rsidP="003F0353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O segundo capítulo abarca as </w:t>
      </w:r>
      <w:r w:rsidRPr="003F0353">
        <w:rPr>
          <w:rFonts w:ascii="Garamond" w:eastAsia="Garamond" w:hAnsi="Garamond" w:cs="Garamond"/>
          <w:b/>
          <w:color w:val="000000"/>
          <w:sz w:val="24"/>
          <w:szCs w:val="24"/>
          <w:lang w:val="pt-PT"/>
        </w:rPr>
        <w:t>Políticas da Educação Superior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, os instrumentos legais que as enquadram e a organização da multifacetada Educação Superior Brasileira. São ainda referidas algumas das ameaças e dos desafios à implementação do direito à Educação, que devem ser objeto de permanente vigilância. Este capítulo é escrito e organizado por Sérgio Roberto </w:t>
      </w:r>
      <w:proofErr w:type="spellStart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Kieling</w:t>
      </w:r>
      <w:proofErr w:type="spellEnd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 Franco 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begin"/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instrText xml:space="preserve"> ADDIN EN.CITE &lt;EndNote&gt;&lt;Cite&gt;&lt;Author&gt;Franco&lt;/Author&gt;&lt;Year&gt;2021&lt;/Year&gt;&lt;RecNum&gt;26413&lt;/RecNum&gt;&lt;DisplayText&gt;(Franco, 2021)&lt;/DisplayText&gt;&lt;record&gt;&lt;rec-number&gt;26413&lt;/rec-number&gt;&lt;foreign-keys&gt;&lt;key app="EN" db-id="ta0wppatztdav3e59zup5s575zxdsed50erz" timestamp="1632128321"&gt;26413&lt;/key&gt;&lt;/foreign-keys&gt;&lt;ref-type name="Book Section"&gt;5&lt;/ref-type&gt;&lt;contributors&gt;&lt;authors&gt;&lt;author&gt;Franco, Sérgio Roberto Kieling&lt;/author&gt;&lt;/authors&gt;&lt;secondary-authors&gt;&lt;author&gt;Morosini, Marília&lt;/author&gt;&lt;/secondary-authors&gt;&lt;/contributors&gt;&lt;titles&gt;&lt;title&gt;Políticas da Educação Superior&lt;/title&gt;&lt;secondary-title&gt;Enciclopédia Brasileira de Educação Superior (V1)&lt;/secondary-title&gt;&lt;/titles&gt;&lt;pages&gt;171-238&lt;/pages&gt;&lt;volume&gt;1&lt;/volume&gt;&lt;dates&gt;&lt;year&gt;2021&lt;/year&gt;&lt;/dates&gt;&lt;pub-location&gt;Porto Alegre-RS-Brasil&lt;/pub-location&gt;&lt;publisher&gt;EdiPucRs&lt;/publisher&gt;&lt;urls&gt;&lt;related-urls&gt;&lt;url&gt;https://editora.pucrs.br/livro/1421/&lt;/url&gt;&lt;/related-urls&gt;&lt;/urls&gt;&lt;/record&gt;&lt;/Cite&gt;&lt;/EndNote&gt;</w:instrTex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separate"/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(Franco, 2021)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end"/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.    </w:t>
      </w:r>
    </w:p>
    <w:p w:rsidR="003F0353" w:rsidRPr="003F0353" w:rsidRDefault="003F0353" w:rsidP="003F0353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O terceiro Capítulo versa sobre </w:t>
      </w:r>
      <w:r w:rsidRPr="003F0353">
        <w:rPr>
          <w:rFonts w:ascii="Garamond" w:eastAsia="Garamond" w:hAnsi="Garamond" w:cs="Garamond"/>
          <w:b/>
          <w:color w:val="000000"/>
          <w:sz w:val="24"/>
          <w:szCs w:val="24"/>
          <w:lang w:val="pt-PT"/>
        </w:rPr>
        <w:t xml:space="preserve">Gestão da Educação Superior 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numa clara lógica, organizado em três eixos estruturantes: 1) Concepções e diretrizes institucionais na Gestão Superior; 2) Organização e processos decisórios institucionais na gestão da Educação Superior; 3) Movimentos associativos acadêmicos e gestão da Educação Superior. A complexidade deste campo científico e a sua aplicação prática é apresentada de modo articulado e fundamentado. Este capítulo é escrito e organizado por Maria Estela Dai Pai Franco e Solange Maria </w:t>
      </w:r>
      <w:proofErr w:type="spellStart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Longhi</w:t>
      </w:r>
      <w:proofErr w:type="spellEnd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 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begin"/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instrText xml:space="preserve"> ADDIN EN.CITE &lt;EndNote&gt;&lt;Cite&gt;&lt;Author&gt;Franco&lt;/Author&gt;&lt;Year&gt;2021&lt;/Year&gt;&lt;RecNum&gt;26414&lt;/RecNum&gt;&lt;DisplayText&gt;(Franco e Longhi, 2021)&lt;/DisplayText&gt;&lt;record&gt;&lt;rec-number&gt;26414&lt;/rec-number&gt;&lt;foreign-keys&gt;&lt;key app="EN" db-id="ta0wppatztdav3e59zup5s575zxdsed50erz" timestamp="1632128565"&gt;26414&lt;/key&gt;&lt;/foreign-keys&gt;&lt;ref-type name="Book Section"&gt;5&lt;/ref-type&gt;&lt;contributors&gt;&lt;authors&gt;&lt;author&gt;Franco, Maria Estela Dal Pai&lt;/author&gt;&lt;author&gt;Longhi, Solange Maria&lt;/author&gt;&lt;/authors&gt;&lt;secondary-authors&gt;&lt;author&gt;Morosini, Marília&lt;/author&gt;&lt;/secondary-authors&gt;&lt;/contributors&gt;&lt;titles&gt;&lt;title&gt;Gestão da Educação Superior&lt;/title&gt;&lt;secondary-title&gt;Enciclopédia Brasileira de Educação Superior (V1)&lt;/secondary-title&gt;&lt;/titles&gt;&lt;pages&gt;239-390&lt;/pages&gt;&lt;volume&gt;1&lt;/volume&gt;&lt;dates&gt;&lt;year&gt;2021&lt;/year&gt;&lt;/dates&gt;&lt;pub-location&gt;Porto Alegre-RS-Brasil&lt;/pub-location&gt;&lt;publisher&gt;EdiPucRs&lt;/publisher&gt;&lt;urls&gt;&lt;related-urls&gt;&lt;url&gt;https://editora.pucrs.br/livro/1421/&lt;/url&gt;&lt;/related-urls&gt;&lt;/urls&gt;&lt;/record&gt;&lt;/Cite&gt;&lt;/EndNote&gt;</w:instrTex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separate"/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(Franco e Longhi, 2021)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end"/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.</w:t>
      </w:r>
    </w:p>
    <w:p w:rsidR="003F0353" w:rsidRPr="003F0353" w:rsidRDefault="003F0353" w:rsidP="003F0353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O quarto capítulo trata da </w:t>
      </w:r>
      <w:r w:rsidRPr="003F0353">
        <w:rPr>
          <w:rFonts w:ascii="Garamond" w:eastAsia="Garamond" w:hAnsi="Garamond" w:cs="Garamond"/>
          <w:b/>
          <w:color w:val="000000"/>
          <w:sz w:val="24"/>
          <w:szCs w:val="24"/>
          <w:lang w:val="pt-PT"/>
        </w:rPr>
        <w:t>Avaliação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 </w:t>
      </w:r>
      <w:r w:rsidRPr="003F0353">
        <w:rPr>
          <w:rFonts w:ascii="Garamond" w:eastAsia="Garamond" w:hAnsi="Garamond" w:cs="Garamond"/>
          <w:b/>
          <w:color w:val="000000"/>
          <w:sz w:val="24"/>
          <w:szCs w:val="24"/>
          <w:lang w:val="pt-PT"/>
        </w:rPr>
        <w:t>da Educação Superior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, não só traz a perspetiva histórica, sua evolução e mudanças significativas, mas também projeta a construção do futuro da avaliação e da sua cultura. Nesse futuro torna-se relevante a contribuição da perspetiva latino-americana da avaliação. Neste contexto pretende-se que a avaliação seja feita de modo participativo, solidário e visando a melhoria das diversas aprendizagens, de modo a reconhecer o valor dos conhecimentos que estão embebidos nas culturas locais, com o objetivo fulcral de apoiar o bem-estar de cada um e de todos. Este capítulo é escrito e organizado por Denise </w:t>
      </w:r>
      <w:proofErr w:type="spellStart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Balarine</w:t>
      </w:r>
      <w:proofErr w:type="spellEnd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 Cavalheiro Leite e </w:t>
      </w:r>
      <w:proofErr w:type="spellStart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Marlis</w:t>
      </w:r>
      <w:proofErr w:type="spellEnd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 Morosini </w:t>
      </w:r>
      <w:proofErr w:type="spellStart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Polidori</w:t>
      </w:r>
      <w:proofErr w:type="spellEnd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 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begin"/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instrText xml:space="preserve"> ADDIN EN.CITE &lt;EndNote&gt;&lt;Cite&gt;&lt;Author&gt;Leite&lt;/Author&gt;&lt;Year&gt;2021&lt;/Year&gt;&lt;RecNum&gt;26415&lt;/RecNum&gt;&lt;DisplayText&gt;(Leite e Polidori, 2021)&lt;/DisplayText&gt;&lt;record&gt;&lt;rec-number&gt;26415&lt;/rec-number&gt;&lt;foreign-keys&gt;&lt;key app="EN" db-id="ta0wppatztdav3e59zup5s575zxdsed50erz" timestamp="1632128665"&gt;26415&lt;/key&gt;&lt;/foreign-keys&gt;&lt;ref-type name="Book Section"&gt;5&lt;/ref-type&gt;&lt;contributors&gt;&lt;authors&gt;&lt;author&gt;Leite, Denise Balarine Cavalheiro&lt;/author&gt;&lt;author&gt;Polidori, Marlis Morosini&lt;/author&gt;&lt;/authors&gt;&lt;secondary-authors&gt;&lt;author&gt;Morosini, Marília&lt;/author&gt;&lt;/secondary-authors&gt;&lt;/contributors&gt;&lt;titles&gt;&lt;title&gt;Avaliação da Educação Superior&lt;/title&gt;&lt;secondary-title&gt;Enciclopédia Brasileira de Educação Superior (V1)&lt;/secondary-title&gt;&lt;/titles&gt;&lt;pages&gt;391-476&lt;/pages&gt;&lt;volume&gt;1&lt;/volume&gt;&lt;dates&gt;&lt;year&gt;2021&lt;/year&gt;&lt;/dates&gt;&lt;pub-location&gt;Porto Alegre-RS-Brasil&lt;/pub-location&gt;&lt;publisher&gt;EdiPucRs&lt;/publisher&gt;&lt;urls&gt;&lt;related-urls&gt;&lt;url&gt;https://editora.pucrs.br/livro/1421/&lt;/url&gt;&lt;/related-urls&gt;&lt;/urls&gt;&lt;/record&gt;&lt;/Cite&gt;&lt;/EndNote&gt;</w:instrTex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separate"/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(Leite e Polidori, 2021)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end"/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.</w:t>
      </w:r>
    </w:p>
    <w:p w:rsidR="003F0353" w:rsidRPr="003F0353" w:rsidRDefault="003F0353" w:rsidP="003F0353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r w:rsidRPr="003F0353">
        <w:rPr>
          <w:rFonts w:ascii="Garamond" w:eastAsia="Garamond" w:hAnsi="Garamond" w:cs="Garamond"/>
          <w:b/>
          <w:color w:val="000000"/>
          <w:sz w:val="24"/>
          <w:szCs w:val="24"/>
          <w:lang w:val="pt-PT"/>
        </w:rPr>
        <w:t>No segundo volume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, no seu primeiro capítulo, é apresentada a </w:t>
      </w:r>
      <w:r w:rsidRPr="003F0353">
        <w:rPr>
          <w:rFonts w:ascii="Garamond" w:eastAsia="Garamond" w:hAnsi="Garamond" w:cs="Garamond"/>
          <w:b/>
          <w:color w:val="000000"/>
          <w:sz w:val="24"/>
          <w:szCs w:val="24"/>
          <w:lang w:val="pt-PT"/>
        </w:rPr>
        <w:t xml:space="preserve">História da </w:t>
      </w:r>
      <w:r w:rsidRPr="003F0353">
        <w:rPr>
          <w:rFonts w:ascii="Garamond" w:eastAsia="Garamond" w:hAnsi="Garamond" w:cs="Garamond"/>
          <w:b/>
          <w:color w:val="000000"/>
          <w:sz w:val="24"/>
          <w:szCs w:val="24"/>
          <w:lang w:val="pt-PT"/>
        </w:rPr>
        <w:lastRenderedPageBreak/>
        <w:t>Educação Superior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, fundamental para a sua compreensão profunda. Este capítulo inicia-se com a configuração do campo científico da Educação Superior. De seguida é apresentada a Evolução Histórica da Educação Superior a nível global e na América Latina e Caribe e em especial no Brasil. O eixo sobre o Legado da Universidade e diversidade institucional na Educação Superior apela a atenção para a necessidade de considerar a sua complexidade contextual. Por fim o eixo da Educação Superior em contextos emergentes dá uma panorâmica dos movimentos transversais e seus impactos nos diversos e porosos contextos. Este capítulo é escrito e organizado por José Vieira de Sousa 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begin"/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instrText xml:space="preserve"> ADDIN EN.CITE &lt;EndNote&gt;&lt;Cite&gt;&lt;Author&gt;Sousa&lt;/Author&gt;&lt;Year&gt;2021&lt;/Year&gt;&lt;RecNum&gt;26416&lt;/RecNum&gt;&lt;DisplayText&gt;(Sousa, 2021)&lt;/DisplayText&gt;&lt;record&gt;&lt;rec-number&gt;26416&lt;/rec-number&gt;&lt;foreign-keys&gt;&lt;key app="EN" db-id="ta0wppatztdav3e59zup5s575zxdsed50erz" timestamp="1632128802"&gt;26416&lt;/key&gt;&lt;/foreign-keys&gt;&lt;ref-type name="Book Section"&gt;5&lt;/ref-type&gt;&lt;contributors&gt;&lt;authors&gt;&lt;author&gt;Sousa, José Vieira&lt;/author&gt;&lt;/authors&gt;&lt;secondary-authors&gt;&lt;author&gt;Morosini, Marilia&lt;/author&gt;&lt;/secondary-authors&gt;&lt;/contributors&gt;&lt;titles&gt;&lt;title&gt;História da Educação Superior&lt;/title&gt;&lt;secondary-title&gt;Enciclopédia Brasileira de Educação Superior (V2)&lt;/secondary-title&gt;&lt;/titles&gt;&lt;pages&gt;25-208&lt;/pages&gt;&lt;volume&gt;2&lt;/volume&gt;&lt;dates&gt;&lt;year&gt;2021&lt;/year&gt;&lt;/dates&gt;&lt;pub-location&gt;Porto Alegre-RS-Brasil&lt;/pub-location&gt;&lt;publisher&gt;EdiPucRs&lt;/publisher&gt;&lt;urls&gt;&lt;related-urls&gt;&lt;url&gt;https://editora.pucrs.br/livro/1563/&lt;/url&gt;&lt;/related-urls&gt;&lt;/urls&gt;&lt;/record&gt;&lt;/Cite&gt;&lt;/EndNote&gt;</w:instrTex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separate"/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(Sousa, 2021)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end"/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.</w:t>
      </w:r>
    </w:p>
    <w:p w:rsidR="003F0353" w:rsidRPr="003F0353" w:rsidRDefault="003F0353" w:rsidP="003F0353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Segue-se o segundo capítulo, que inclui o </w:t>
      </w:r>
      <w:r w:rsidRPr="003F0353">
        <w:rPr>
          <w:rFonts w:ascii="Garamond" w:eastAsia="Garamond" w:hAnsi="Garamond" w:cs="Garamond"/>
          <w:b/>
          <w:color w:val="000000"/>
          <w:sz w:val="24"/>
          <w:szCs w:val="24"/>
          <w:lang w:val="pt-PT"/>
        </w:rPr>
        <w:t>Currículo e as Práticas na Educação Superior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. Este capítulo desenvolve-se em três eixos: 1) Epistemologias e currículo na Educação Superior; 2) Organização curricular na Educação Superior e 3) Desenvolvimento do Currículo na Educação Superior. Ao longo da sua leitura os conceitos são claramente apresentados e as práticas são exemplificadas com uma relevante contribuição do Sul-global, cujo exemplo máximo se concretiza em Paulo Freire, autor de impacto mundial. Este capítulo é escrito e organizado por </w:t>
      </w:r>
      <w:proofErr w:type="spellStart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Cleoni</w:t>
      </w:r>
      <w:proofErr w:type="spellEnd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 Maria </w:t>
      </w:r>
      <w:proofErr w:type="spellStart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Barboza</w:t>
      </w:r>
      <w:proofErr w:type="spellEnd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 Fernandes 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begin"/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instrText xml:space="preserve"> ADDIN EN.CITE &lt;EndNote&gt;&lt;Cite&gt;&lt;Author&gt;Fernandes&lt;/Author&gt;&lt;Year&gt;2021&lt;/Year&gt;&lt;RecNum&gt;26417&lt;/RecNum&gt;&lt;DisplayText&gt;(Fernandes, 2021)&lt;/DisplayText&gt;&lt;record&gt;&lt;rec-number&gt;26417&lt;/rec-number&gt;&lt;foreign-keys&gt;&lt;key app="EN" db-id="ta0wppatztdav3e59zup5s575zxdsed50erz" timestamp="1632128965"&gt;26417&lt;/key&gt;&lt;/foreign-keys&gt;&lt;ref-type name="Book Section"&gt;5&lt;/ref-type&gt;&lt;contributors&gt;&lt;authors&gt;&lt;author&gt;Fernandes, Cleoni Maria Barboza&lt;/author&gt;&lt;/authors&gt;&lt;secondary-authors&gt;&lt;author&gt;Morosini, Marilia&lt;/author&gt;&lt;/secondary-authors&gt;&lt;/contributors&gt;&lt;titles&gt;&lt;title&gt;Currículo e Práticas na Educação Superior&lt;/title&gt;&lt;secondary-title&gt;Enciclopédia Brasileira de Educação Superior (V2)&lt;/secondary-title&gt;&lt;/titles&gt;&lt;pages&gt;209-272&lt;/pages&gt;&lt;volume&gt;2&lt;/volume&gt;&lt;dates&gt;&lt;year&gt;2021&lt;/year&gt;&lt;/dates&gt;&lt;pub-location&gt;Porto Alegre-RS-Brasil&lt;/pub-location&gt;&lt;publisher&gt;EdiPucRs&lt;/publisher&gt;&lt;urls&gt;&lt;related-urls&gt;&lt;url&gt;https://editora.pucrs.br/livro/1563/&lt;/url&gt;&lt;/related-urls&gt;&lt;/urls&gt;&lt;/record&gt;&lt;/Cite&gt;&lt;/EndNote&gt;</w:instrTex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separate"/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(Fernandes, 2021)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end"/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.</w:t>
      </w:r>
    </w:p>
    <w:p w:rsidR="003F0353" w:rsidRPr="003F0353" w:rsidRDefault="003F0353" w:rsidP="003F0353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No terceiro capítulo, deste segundo volume, foca-se no importante tema do Professor da Educação Superior, nas duas vertentes: 1) Formação docente da Educação Superior e 2) Desenvolvimento profissional docente da Educação Superior. Apraz 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lastRenderedPageBreak/>
        <w:t xml:space="preserve">constatar a valorização da formação dos Professores como componente fulcral da qualidade da Educação e do meio da valorização pela Sociedade do Conhecimento. Este capítulo é escrito e organizado por Maria Isabel da Cunha, </w:t>
      </w:r>
      <w:proofErr w:type="spellStart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Doris</w:t>
      </w:r>
      <w:proofErr w:type="spellEnd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 Pires Vargas </w:t>
      </w:r>
      <w:proofErr w:type="spellStart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Bolzan</w:t>
      </w:r>
      <w:proofErr w:type="spellEnd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 e </w:t>
      </w:r>
      <w:proofErr w:type="spellStart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Silvia</w:t>
      </w:r>
      <w:proofErr w:type="spellEnd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 Maria de </w:t>
      </w:r>
      <w:proofErr w:type="spellStart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Aguira</w:t>
      </w:r>
      <w:proofErr w:type="spellEnd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 </w:t>
      </w:r>
      <w:proofErr w:type="spellStart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Isaia</w:t>
      </w:r>
      <w:proofErr w:type="spellEnd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) 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begin"/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instrText xml:space="preserve"> ADDIN EN.CITE &lt;EndNote&gt;&lt;Cite&gt;&lt;Author&gt;Cunha&lt;/Author&gt;&lt;Year&gt;2021&lt;/Year&gt;&lt;RecNum&gt;26418&lt;/RecNum&gt;&lt;DisplayText&gt;(Cunha&lt;style face="italic"&gt; et al.&lt;/style&gt;, 2021)&lt;/DisplayText&gt;&lt;record&gt;&lt;rec-number&gt;26418&lt;/rec-number&gt;&lt;foreign-keys&gt;&lt;key app="EN" db-id="ta0wppatztdav3e59zup5s575zxdsed50erz" timestamp="1632129053"&gt;26418&lt;/key&gt;&lt;/foreign-keys&gt;&lt;ref-type name="Book Section"&gt;5&lt;/ref-type&gt;&lt;contributors&gt;&lt;authors&gt;&lt;author&gt;Cunha, Maria Isabel&lt;/author&gt;&lt;author&gt;Bolzan, Doris Pires Vargas&lt;/author&gt;&lt;author&gt;Isaia, Silvia Maria Aguiar&lt;/author&gt;&lt;/authors&gt;&lt;secondary-authors&gt;&lt;author&gt;Morosini, Marilia&lt;/author&gt;&lt;/secondary-authors&gt;&lt;/contributors&gt;&lt;titles&gt;&lt;title&gt;Professor da Educação Superior&lt;/title&gt;&lt;secondary-title&gt;Enciclopédia Brasileira de Educação Superior (V2)&lt;/secondary-title&gt;&lt;/titles&gt;&lt;pages&gt;273-246&lt;/pages&gt;&lt;volume&gt;2&lt;/volume&gt;&lt;dates&gt;&lt;year&gt;2021&lt;/year&gt;&lt;/dates&gt;&lt;pub-location&gt;Porto Alegre-RS-Brasil&lt;/pub-location&gt;&lt;publisher&gt;EdiPucRs&lt;/publisher&gt;&lt;urls&gt;&lt;related-urls&gt;&lt;url&gt;https://editora.pucrs.br/livro/1563/&lt;/url&gt;&lt;/related-urls&gt;&lt;/urls&gt;&lt;/record&gt;&lt;/Cite&gt;&lt;/EndNote&gt;</w:instrTex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separate"/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(Cunha et al., 2021)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end"/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.</w:t>
      </w:r>
    </w:p>
    <w:p w:rsidR="003F0353" w:rsidRPr="003F0353" w:rsidRDefault="003F0353" w:rsidP="003F0353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No quarto capítulo, o foco é o Estudante da Educação Superior. Este capítulo desdobra-se </w:t>
      </w:r>
      <w:proofErr w:type="gramStart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em</w:t>
      </w:r>
      <w:proofErr w:type="gramEnd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: 1) Acesso do Estudante à Educação Superior e 2) Percurso Formativo do Estudante na Educação Superior. Estes aspetos são claramente expostos permitindo iniciar novos percursos neste importante e fundamental pilar da Educação Superior. Este capítulo é escrito e organizado por Vera </w:t>
      </w:r>
      <w:proofErr w:type="spellStart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Lucia</w:t>
      </w:r>
      <w:proofErr w:type="spellEnd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 </w:t>
      </w:r>
      <w:proofErr w:type="spellStart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Felicetti</w:t>
      </w:r>
      <w:proofErr w:type="spellEnd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 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begin"/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instrText xml:space="preserve"> ADDIN EN.CITE &lt;EndNote&gt;&lt;Cite&gt;&lt;Author&gt;Felicetti&lt;/Author&gt;&lt;Year&gt;2021&lt;/Year&gt;&lt;RecNum&gt;26419&lt;/RecNum&gt;&lt;DisplayText&gt;(Felicetti, 2021)&lt;/DisplayText&gt;&lt;record&gt;&lt;rec-number&gt;26419&lt;/rec-number&gt;&lt;foreign-keys&gt;&lt;key app="EN" db-id="ta0wppatztdav3e59zup5s575zxdsed50erz" timestamp="1632129189"&gt;26419&lt;/key&gt;&lt;/foreign-keys&gt;&lt;ref-type name="Book Section"&gt;5&lt;/ref-type&gt;&lt;contributors&gt;&lt;authors&gt;&lt;author&gt;Felicetti, Vera Lucia&lt;/author&gt;&lt;/authors&gt;&lt;secondary-authors&gt;&lt;author&gt;Morosini, Marilia&lt;/author&gt;&lt;/secondary-authors&gt;&lt;/contributors&gt;&lt;titles&gt;&lt;title&gt;Estudante da Educação Superior&lt;/title&gt;&lt;secondary-title&gt;Enciclopédia Brasileira de Educação Superior (V2)&lt;/secondary-title&gt;&lt;/titles&gt;&lt;pages&gt;247-418&lt;/pages&gt;&lt;volume&gt;2&lt;/volume&gt;&lt;dates&gt;&lt;year&gt;2021&lt;/year&gt;&lt;/dates&gt;&lt;pub-location&gt;Porto Alegre-RS-Brasil&lt;/pub-location&gt;&lt;publisher&gt;EdiPucRs&lt;/publisher&gt;&lt;urls&gt;&lt;related-urls&gt;&lt;url&gt;https://editora.pucrs.br/livro/1563/&lt;/url&gt;&lt;/related-urls&gt;&lt;/urls&gt;&lt;/record&gt;&lt;/Cite&gt;&lt;/EndNote&gt;</w:instrTex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separate"/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(Felicetti, 2021)</w:t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fldChar w:fldCharType="end"/>
      </w: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.</w:t>
      </w:r>
    </w:p>
    <w:p w:rsidR="003F0353" w:rsidRPr="003F0353" w:rsidRDefault="003F0353" w:rsidP="003F0353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Convido os leitores a explorar esta Enciclopédia e a recolher informação para a construção do seu conhecimento. Por certo irão recorrer a este confiável recurso que generosamente está disponível a todos e em particular aos leitores da Língua portuguesa, que se devem orgulhar de poder contar com esta obra de qualidade e de </w:t>
      </w:r>
      <w:proofErr w:type="spellStart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>actualidade</w:t>
      </w:r>
      <w:proofErr w:type="spellEnd"/>
      <w:r w:rsidRPr="003F0353">
        <w:rPr>
          <w:rFonts w:ascii="Garamond" w:eastAsia="Garamond" w:hAnsi="Garamond" w:cs="Garamond"/>
          <w:color w:val="000000"/>
          <w:sz w:val="24"/>
          <w:szCs w:val="24"/>
          <w:lang w:val="pt-PT"/>
        </w:rPr>
        <w:t xml:space="preserve">. Incentivo o seu uso e disseminação, de modo a que este recurso seja globalmente usado e sirva de meio para a construção do Conhecimento sobre a Educação Superior.    </w:t>
      </w:r>
    </w:p>
    <w:p w:rsidR="003F0353" w:rsidRPr="003F0353" w:rsidRDefault="003F0353" w:rsidP="003F0353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</w:p>
    <w:p w:rsidR="001C2C71" w:rsidRPr="001C2C71" w:rsidRDefault="001C2C71" w:rsidP="001C2C71">
      <w:pPr>
        <w:spacing w:after="0" w:line="240" w:lineRule="auto"/>
        <w:ind w:firstLine="360"/>
        <w:rPr>
          <w:rFonts w:ascii="Garamond" w:eastAsia="Garamond" w:hAnsi="Garamond" w:cs="Garamond"/>
          <w:color w:val="000000"/>
          <w:sz w:val="24"/>
          <w:szCs w:val="24"/>
          <w:lang w:val="pt-PT"/>
        </w:rPr>
      </w:pPr>
    </w:p>
    <w:p w:rsidR="005C2D26" w:rsidRPr="00F13395" w:rsidRDefault="005C2D26">
      <w:pPr>
        <w:spacing w:after="0" w:line="240" w:lineRule="auto"/>
        <w:rPr>
          <w:rFonts w:ascii="Garamond" w:eastAsia="Garamond" w:hAnsi="Garamond" w:cs="Garamond"/>
          <w:sz w:val="24"/>
          <w:szCs w:val="24"/>
          <w:highlight w:val="yellow"/>
          <w:lang w:val="pt-PT"/>
        </w:rPr>
      </w:pPr>
    </w:p>
    <w:p w:rsidR="005C2D26" w:rsidRPr="00F13395" w:rsidRDefault="005C2D26">
      <w:pPr>
        <w:spacing w:after="0" w:line="240" w:lineRule="auto"/>
        <w:rPr>
          <w:rFonts w:ascii="Garamond" w:eastAsia="Garamond" w:hAnsi="Garamond" w:cs="Garamond"/>
          <w:sz w:val="24"/>
          <w:szCs w:val="24"/>
          <w:highlight w:val="yellow"/>
          <w:lang w:val="pt-PT"/>
        </w:rPr>
      </w:pPr>
    </w:p>
    <w:p w:rsidR="005C2D26" w:rsidRPr="00F13395" w:rsidRDefault="005C2D26">
      <w:pPr>
        <w:spacing w:after="0" w:line="240" w:lineRule="auto"/>
        <w:rPr>
          <w:rFonts w:ascii="Garamond" w:eastAsia="Garamond" w:hAnsi="Garamond" w:cs="Garamond"/>
          <w:sz w:val="24"/>
          <w:szCs w:val="24"/>
          <w:highlight w:val="yellow"/>
          <w:lang w:val="pt-PT"/>
        </w:rPr>
      </w:pPr>
    </w:p>
    <w:p w:rsidR="005C2D26" w:rsidRPr="00F13395" w:rsidRDefault="005C2D26">
      <w:pPr>
        <w:spacing w:after="0" w:line="240" w:lineRule="auto"/>
        <w:rPr>
          <w:rFonts w:ascii="Garamond" w:eastAsia="Garamond" w:hAnsi="Garamond" w:cs="Garamond"/>
          <w:sz w:val="24"/>
          <w:szCs w:val="24"/>
          <w:highlight w:val="yellow"/>
          <w:lang w:val="pt-PT"/>
        </w:rPr>
      </w:pPr>
    </w:p>
    <w:p w:rsidR="005C2D26" w:rsidRPr="00F13395" w:rsidRDefault="005C2D26">
      <w:pPr>
        <w:spacing w:after="0" w:line="240" w:lineRule="auto"/>
        <w:rPr>
          <w:rFonts w:ascii="Garamond" w:eastAsia="Garamond" w:hAnsi="Garamond" w:cs="Garamond"/>
          <w:sz w:val="24"/>
          <w:szCs w:val="24"/>
          <w:highlight w:val="yellow"/>
          <w:lang w:val="pt-PT"/>
        </w:rPr>
        <w:sectPr w:rsidR="005C2D26" w:rsidRPr="00F13395">
          <w:type w:val="continuous"/>
          <w:pgSz w:w="12240" w:h="15840"/>
          <w:pgMar w:top="1440" w:right="1350" w:bottom="1440" w:left="1440" w:header="720" w:footer="720" w:gutter="0"/>
          <w:cols w:num="2" w:space="720" w:equalWidth="0">
            <w:col w:w="4365" w:space="720"/>
            <w:col w:w="4365" w:space="0"/>
          </w:cols>
          <w:titlePg/>
        </w:sectPr>
      </w:pPr>
    </w:p>
    <w:p w:rsidR="005C2D26" w:rsidRPr="00F13395" w:rsidRDefault="005C2D26">
      <w:pPr>
        <w:spacing w:after="0" w:line="240" w:lineRule="auto"/>
        <w:rPr>
          <w:rFonts w:ascii="Garamond" w:eastAsia="Garamond" w:hAnsi="Garamond" w:cs="Garamond"/>
          <w:sz w:val="24"/>
          <w:szCs w:val="24"/>
          <w:highlight w:val="yellow"/>
          <w:lang w:val="pt-PT"/>
        </w:rPr>
        <w:sectPr w:rsidR="005C2D26" w:rsidRPr="00F13395">
          <w:type w:val="continuous"/>
          <w:pgSz w:w="12240" w:h="15840"/>
          <w:pgMar w:top="1440" w:right="1350" w:bottom="1440" w:left="1440" w:header="720" w:footer="720" w:gutter="0"/>
          <w:cols w:space="720"/>
          <w:titlePg/>
        </w:sectPr>
      </w:pPr>
    </w:p>
    <w:p w:rsidR="005C2D26" w:rsidRPr="00F13395" w:rsidRDefault="005C2D26">
      <w:pPr>
        <w:spacing w:after="0" w:line="240" w:lineRule="auto"/>
        <w:rPr>
          <w:rFonts w:ascii="Garamond" w:eastAsia="Garamond" w:hAnsi="Garamond" w:cs="Garamond"/>
          <w:sz w:val="24"/>
          <w:szCs w:val="24"/>
          <w:highlight w:val="yellow"/>
          <w:lang w:val="pt-PT"/>
        </w:rPr>
        <w:sectPr w:rsidR="005C2D26" w:rsidRPr="00F13395">
          <w:type w:val="continuous"/>
          <w:pgSz w:w="12240" w:h="15840"/>
          <w:pgMar w:top="1440" w:right="1350" w:bottom="1440" w:left="1440" w:header="720" w:footer="720" w:gutter="0"/>
          <w:cols w:num="2" w:space="720" w:equalWidth="0">
            <w:col w:w="4365" w:space="720"/>
            <w:col w:w="4365" w:space="0"/>
          </w:cols>
          <w:titlePg/>
        </w:sectPr>
      </w:pPr>
    </w:p>
    <w:p w:rsidR="005C2D26" w:rsidRDefault="00CF3D99">
      <w:pPr>
        <w:spacing w:after="0" w:line="240" w:lineRule="auto"/>
        <w:rPr>
          <w:rFonts w:ascii="Garamond" w:eastAsia="Garamond" w:hAnsi="Garamond" w:cs="Garamond"/>
          <w:b/>
          <w:sz w:val="24"/>
          <w:szCs w:val="24"/>
        </w:rPr>
      </w:pPr>
      <w:r>
        <w:lastRenderedPageBreak/>
        <w:pict>
          <v:rect id="_x0000_i1025" style="width:0;height:1.5pt" o:hralign="center" o:hrstd="t" o:hr="t" fillcolor="#a0a0a0" stroked="f"/>
        </w:pict>
      </w:r>
    </w:p>
    <w:p w:rsidR="005C2D26" w:rsidRDefault="005978C4">
      <w:pPr>
        <w:spacing w:after="0" w:line="240" w:lineRule="auto"/>
        <w:rPr>
          <w:rFonts w:ascii="Garamond" w:eastAsia="Garamond" w:hAnsi="Garamond" w:cs="Garamond"/>
          <w:b/>
          <w:sz w:val="24"/>
          <w:szCs w:val="24"/>
          <w:lang w:val="pt-PT"/>
        </w:rPr>
      </w:pPr>
      <w:r w:rsidRPr="00F13395">
        <w:rPr>
          <w:rFonts w:ascii="Garamond" w:eastAsia="Garamond" w:hAnsi="Garamond" w:cs="Garamond"/>
          <w:b/>
          <w:sz w:val="24"/>
          <w:szCs w:val="24"/>
          <w:lang w:val="pt-PT"/>
        </w:rPr>
        <w:t xml:space="preserve">Referências </w:t>
      </w:r>
    </w:p>
    <w:p w:rsidR="00D743E0" w:rsidRDefault="00D743E0">
      <w:pPr>
        <w:spacing w:after="0" w:line="240" w:lineRule="auto"/>
        <w:rPr>
          <w:rFonts w:ascii="Garamond" w:eastAsia="Garamond" w:hAnsi="Garamond" w:cs="Garamond"/>
          <w:b/>
          <w:sz w:val="24"/>
          <w:szCs w:val="24"/>
          <w:lang w:val="pt-PT"/>
        </w:rPr>
      </w:pPr>
    </w:p>
    <w:p w:rsidR="00D743E0" w:rsidRDefault="00D743E0" w:rsidP="00D743E0">
      <w:pPr>
        <w:rPr>
          <w:lang w:val="pt-PT"/>
        </w:rPr>
      </w:pPr>
    </w:p>
    <w:p w:rsidR="0012461C" w:rsidRPr="0012461C" w:rsidRDefault="00D743E0" w:rsidP="0012461C">
      <w:pPr>
        <w:pStyle w:val="EndNoteBibliography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12461C" w:rsidRPr="0012461C">
        <w:t xml:space="preserve">CUNHA, M. I.; BOLZAN, D. P. V.; ISAIA, S. M. A. Professor da Educação Superior. In: MOROSINI, M. (Ed.). </w:t>
      </w:r>
      <w:r w:rsidR="0012461C" w:rsidRPr="0012461C">
        <w:rPr>
          <w:b/>
        </w:rPr>
        <w:t>Enciclopédia Brasileira de Educação Superior (V2)</w:t>
      </w:r>
      <w:r w:rsidR="0012461C" w:rsidRPr="0012461C">
        <w:t xml:space="preserve">. Porto Alegre-RS-Brasil: EdiPucRs, v.2, 2021.  p.273-246.  </w:t>
      </w:r>
    </w:p>
    <w:p w:rsidR="0012461C" w:rsidRPr="0012461C" w:rsidRDefault="0012461C" w:rsidP="0012461C">
      <w:pPr>
        <w:pStyle w:val="EndNoteBibliography"/>
        <w:spacing w:after="0"/>
      </w:pPr>
    </w:p>
    <w:p w:rsidR="0012461C" w:rsidRPr="0012461C" w:rsidRDefault="0012461C" w:rsidP="0012461C">
      <w:pPr>
        <w:pStyle w:val="EndNoteBibliography"/>
      </w:pPr>
      <w:r w:rsidRPr="0012461C">
        <w:t xml:space="preserve">FELICETTI, V. L. Estudante da Educação Superior. In: MOROSINI, M. (Ed.). </w:t>
      </w:r>
      <w:r w:rsidRPr="0012461C">
        <w:rPr>
          <w:b/>
        </w:rPr>
        <w:t>Enciclopédia Brasileira de Educação Superior (V2)</w:t>
      </w:r>
      <w:r w:rsidRPr="0012461C">
        <w:t xml:space="preserve">. Porto Alegre-RS-Brasil: EdiPucRs, v.2, 2021.  p.247-418.  </w:t>
      </w:r>
    </w:p>
    <w:p w:rsidR="0012461C" w:rsidRPr="0012461C" w:rsidRDefault="0012461C" w:rsidP="0012461C">
      <w:pPr>
        <w:pStyle w:val="EndNoteBibliography"/>
        <w:spacing w:after="0"/>
      </w:pPr>
    </w:p>
    <w:p w:rsidR="0012461C" w:rsidRPr="0012461C" w:rsidRDefault="0012461C" w:rsidP="0012461C">
      <w:pPr>
        <w:pStyle w:val="EndNoteBibliography"/>
      </w:pPr>
      <w:r w:rsidRPr="0012461C">
        <w:t xml:space="preserve">FERNANDES, C. M. B. Currículo e Práticas na Educação Superior. In: MOROSINI, M. (Ed.). </w:t>
      </w:r>
      <w:r w:rsidRPr="0012461C">
        <w:rPr>
          <w:b/>
        </w:rPr>
        <w:t>Enciclopédia Brasileira de Educação Superior (V2)</w:t>
      </w:r>
      <w:r w:rsidRPr="0012461C">
        <w:t xml:space="preserve">. Porto Alegre-RS-Brasil: EdiPucRs, v.2, 2021.  p.209-272.  </w:t>
      </w:r>
    </w:p>
    <w:p w:rsidR="0012461C" w:rsidRPr="0012461C" w:rsidRDefault="0012461C" w:rsidP="0012461C">
      <w:pPr>
        <w:pStyle w:val="EndNoteBibliography"/>
        <w:spacing w:after="0"/>
      </w:pPr>
    </w:p>
    <w:p w:rsidR="0012461C" w:rsidRPr="0012461C" w:rsidRDefault="0012461C" w:rsidP="0012461C">
      <w:pPr>
        <w:pStyle w:val="EndNoteBibliography"/>
      </w:pPr>
      <w:r w:rsidRPr="0012461C">
        <w:t xml:space="preserve">FRANCO, M. E. D. P.; LONGHI, S. M. Gestão da Educação Superior. In: MOROSINI, M. (Ed.). </w:t>
      </w:r>
      <w:r w:rsidRPr="0012461C">
        <w:rPr>
          <w:b/>
        </w:rPr>
        <w:t>Enciclopédia Brasileira de Educação Superior (V1)</w:t>
      </w:r>
      <w:r w:rsidRPr="0012461C">
        <w:t xml:space="preserve">. Porto Alegre-RS-Brasil: EdiPucRs, v.1, 2021.  p.239-390.  </w:t>
      </w:r>
    </w:p>
    <w:p w:rsidR="0012461C" w:rsidRPr="0012461C" w:rsidRDefault="0012461C" w:rsidP="0012461C">
      <w:pPr>
        <w:pStyle w:val="EndNoteBibliography"/>
        <w:spacing w:after="0"/>
      </w:pPr>
    </w:p>
    <w:p w:rsidR="0012461C" w:rsidRPr="0012461C" w:rsidRDefault="0012461C" w:rsidP="0012461C">
      <w:pPr>
        <w:pStyle w:val="EndNoteBibliography"/>
      </w:pPr>
      <w:r w:rsidRPr="0012461C">
        <w:t xml:space="preserve">FRANCO, S. R. K. Políticas da Educação Superior. In: MOROSINI, M. (Ed.). </w:t>
      </w:r>
      <w:r w:rsidRPr="0012461C">
        <w:rPr>
          <w:b/>
        </w:rPr>
        <w:t>Enciclopédia Brasileira de Educação Superior (V1)</w:t>
      </w:r>
      <w:r w:rsidRPr="0012461C">
        <w:t xml:space="preserve">. Porto Alegre-RS-Brasil: EdiPucRs, v.1, 2021.  p.171-238.  </w:t>
      </w:r>
    </w:p>
    <w:p w:rsidR="0012461C" w:rsidRPr="0012461C" w:rsidRDefault="0012461C" w:rsidP="0012461C">
      <w:pPr>
        <w:pStyle w:val="EndNoteBibliography"/>
        <w:spacing w:after="0"/>
      </w:pPr>
    </w:p>
    <w:p w:rsidR="0012461C" w:rsidRPr="0012461C" w:rsidRDefault="0012461C" w:rsidP="0012461C">
      <w:pPr>
        <w:pStyle w:val="EndNoteBibliography"/>
      </w:pPr>
      <w:r w:rsidRPr="0012461C">
        <w:t xml:space="preserve">LEITE, D. B. C.; POLIDORI, M. M. Avaliação da Educação Superior. In: MOROSINI, M. (Ed.). </w:t>
      </w:r>
      <w:r w:rsidRPr="0012461C">
        <w:rPr>
          <w:b/>
        </w:rPr>
        <w:t>Enciclopédia Brasileira de Educação Superior (V1)</w:t>
      </w:r>
      <w:r w:rsidRPr="0012461C">
        <w:t xml:space="preserve">. Porto Alegre-RS-Brasil: EdiPucRs, v.1, 2021.  p.391-476.  </w:t>
      </w:r>
    </w:p>
    <w:p w:rsidR="0012461C" w:rsidRPr="0012461C" w:rsidRDefault="0012461C" w:rsidP="0012461C">
      <w:pPr>
        <w:pStyle w:val="EndNoteBibliography"/>
        <w:spacing w:after="0"/>
      </w:pPr>
    </w:p>
    <w:p w:rsidR="0012461C" w:rsidRPr="0012461C" w:rsidRDefault="0012461C" w:rsidP="0012461C">
      <w:pPr>
        <w:pStyle w:val="EndNoteBibliography"/>
      </w:pPr>
      <w:r w:rsidRPr="0012461C">
        <w:t xml:space="preserve">MOROSINI, M. </w:t>
      </w:r>
      <w:r w:rsidRPr="0012461C">
        <w:rPr>
          <w:b/>
        </w:rPr>
        <w:t>Enciclopédia Brasileira de Educação Superior (V1)</w:t>
      </w:r>
      <w:r w:rsidRPr="0012461C">
        <w:t xml:space="preserve">.  Porto Alegre-RS-Brasil: EdiPucRs, 2021a. 505  Disponível em: &lt; </w:t>
      </w:r>
      <w:hyperlink r:id="rId22" w:history="1">
        <w:r w:rsidRPr="0012461C">
          <w:rPr>
            <w:rStyle w:val="Hiperligao"/>
          </w:rPr>
          <w:t>https://editora.pucrs.br/livro/1421/</w:t>
        </w:r>
      </w:hyperlink>
      <w:r w:rsidRPr="0012461C">
        <w:t xml:space="preserve"> &gt;.</w:t>
      </w:r>
    </w:p>
    <w:p w:rsidR="0012461C" w:rsidRPr="0012461C" w:rsidRDefault="0012461C" w:rsidP="0012461C">
      <w:pPr>
        <w:pStyle w:val="EndNoteBibliography"/>
        <w:spacing w:after="0"/>
      </w:pPr>
    </w:p>
    <w:p w:rsidR="0012461C" w:rsidRPr="0012461C" w:rsidRDefault="0012461C" w:rsidP="0012461C">
      <w:pPr>
        <w:pStyle w:val="EndNoteBibliography"/>
      </w:pPr>
      <w:r w:rsidRPr="0012461C">
        <w:t xml:space="preserve">______. </w:t>
      </w:r>
      <w:r w:rsidRPr="0012461C">
        <w:rPr>
          <w:b/>
        </w:rPr>
        <w:t>Enciclopédia Brasileira de Educação Superior (V2)</w:t>
      </w:r>
      <w:r w:rsidRPr="0012461C">
        <w:t xml:space="preserve">.  Porto Alegre-RS-Brasil: EdiPucRs, 2021b.   Disponível em: &lt; </w:t>
      </w:r>
      <w:hyperlink r:id="rId23" w:history="1">
        <w:r w:rsidRPr="0012461C">
          <w:rPr>
            <w:rStyle w:val="Hiperligao"/>
          </w:rPr>
          <w:t>https://editora.pucrs.br/livro/1563/</w:t>
        </w:r>
      </w:hyperlink>
      <w:r w:rsidRPr="0012461C">
        <w:t xml:space="preserve"> &gt;.</w:t>
      </w:r>
    </w:p>
    <w:p w:rsidR="0012461C" w:rsidRPr="0012461C" w:rsidRDefault="0012461C" w:rsidP="0012461C">
      <w:pPr>
        <w:pStyle w:val="EndNoteBibliography"/>
        <w:spacing w:after="0"/>
      </w:pPr>
    </w:p>
    <w:p w:rsidR="0012461C" w:rsidRPr="006970DA" w:rsidRDefault="0012461C" w:rsidP="0012461C">
      <w:pPr>
        <w:pStyle w:val="EndNoteBibliography"/>
        <w:rPr>
          <w:lang w:val="en-US"/>
        </w:rPr>
      </w:pPr>
      <w:r w:rsidRPr="0012461C">
        <w:t xml:space="preserve">MOROSINI, M.; CORTE, M. G. D. Internacionalização da Educação Superior. In: MOROSINI, M. (Ed.). </w:t>
      </w:r>
      <w:r w:rsidRPr="0012461C">
        <w:rPr>
          <w:b/>
        </w:rPr>
        <w:t>Enciclopédia Brasileira de Educação Superior (V1)</w:t>
      </w:r>
      <w:r w:rsidRPr="0012461C">
        <w:t xml:space="preserve">. </w:t>
      </w:r>
      <w:r w:rsidRPr="006970DA">
        <w:rPr>
          <w:lang w:val="en-US"/>
        </w:rPr>
        <w:t xml:space="preserve">Porto Alegre-RS-Brasil: EdiPucRs, v.1, 2021.  p.35-170.  </w:t>
      </w:r>
    </w:p>
    <w:p w:rsidR="0012461C" w:rsidRPr="006970DA" w:rsidRDefault="0012461C" w:rsidP="0012461C">
      <w:pPr>
        <w:pStyle w:val="EndNoteBibliography"/>
        <w:spacing w:after="0"/>
        <w:rPr>
          <w:lang w:val="en-US"/>
        </w:rPr>
      </w:pPr>
    </w:p>
    <w:p w:rsidR="0012461C" w:rsidRPr="0012461C" w:rsidRDefault="0012461C" w:rsidP="0012461C">
      <w:pPr>
        <w:pStyle w:val="EndNoteBibliography"/>
      </w:pPr>
      <w:r w:rsidRPr="00065C50">
        <w:rPr>
          <w:lang w:val="en-US"/>
        </w:rPr>
        <w:t xml:space="preserve">PINHO, I. Knowledge Governance in Higher Education Research In: CHIUMA, G. (Ed.). </w:t>
      </w:r>
      <w:r w:rsidRPr="00065C50">
        <w:rPr>
          <w:b/>
          <w:lang w:val="en-US"/>
        </w:rPr>
        <w:t>Managing Knowledge in Uncertain Times</w:t>
      </w:r>
      <w:r w:rsidRPr="00065C50">
        <w:rPr>
          <w:lang w:val="en-US"/>
        </w:rPr>
        <w:t xml:space="preserve">. Matera-Italy: Arts for Busimess Institute, 2021.  </w:t>
      </w:r>
      <w:r w:rsidRPr="0012461C">
        <w:t>p.62-70.  ISBN 978-88-96687-14-7.</w:t>
      </w:r>
    </w:p>
    <w:p w:rsidR="0012461C" w:rsidRPr="0012461C" w:rsidRDefault="0012461C" w:rsidP="0012461C">
      <w:pPr>
        <w:pStyle w:val="EndNoteBibliography"/>
        <w:spacing w:after="0"/>
      </w:pPr>
    </w:p>
    <w:p w:rsidR="0012461C" w:rsidRPr="0012461C" w:rsidRDefault="0012461C" w:rsidP="0012461C">
      <w:pPr>
        <w:pStyle w:val="EndNoteBibliography"/>
      </w:pPr>
      <w:r w:rsidRPr="0012461C">
        <w:t xml:space="preserve">SOUSA, J. V. História da Educação Superior. In: MOROSINI, M. (Ed.). </w:t>
      </w:r>
      <w:r w:rsidRPr="0012461C">
        <w:rPr>
          <w:b/>
        </w:rPr>
        <w:t>Enciclopédia Brasileira de Educação Superior (V2)</w:t>
      </w:r>
      <w:r w:rsidRPr="0012461C">
        <w:t xml:space="preserve">. Porto Alegre-RS-Brasil: EdiPucRs, v.2, 2021.  p.25-208.  </w:t>
      </w:r>
    </w:p>
    <w:p w:rsidR="0012461C" w:rsidRPr="0012461C" w:rsidRDefault="0012461C" w:rsidP="0012461C">
      <w:pPr>
        <w:pStyle w:val="EndNoteBibliography"/>
      </w:pPr>
    </w:p>
    <w:p w:rsidR="00D743E0" w:rsidRPr="00F13395" w:rsidRDefault="00D743E0" w:rsidP="00D743E0">
      <w:pPr>
        <w:spacing w:after="0" w:line="240" w:lineRule="auto"/>
        <w:rPr>
          <w:rFonts w:ascii="Garamond" w:eastAsia="Garamond" w:hAnsi="Garamond" w:cs="Garamond"/>
          <w:b/>
          <w:sz w:val="24"/>
          <w:szCs w:val="24"/>
          <w:lang w:val="pt-PT"/>
        </w:rPr>
      </w:pPr>
      <w:r>
        <w:rPr>
          <w:lang w:val="pt-PT"/>
        </w:rPr>
        <w:fldChar w:fldCharType="end"/>
      </w:r>
    </w:p>
    <w:p w:rsidR="005C2D26" w:rsidRPr="00F13395" w:rsidRDefault="005C2D26">
      <w:pPr>
        <w:spacing w:after="0" w:line="240" w:lineRule="auto"/>
        <w:rPr>
          <w:rFonts w:ascii="Garamond" w:eastAsia="Garamond" w:hAnsi="Garamond" w:cs="Garamond"/>
          <w:sz w:val="24"/>
          <w:szCs w:val="24"/>
          <w:lang w:val="pt-PT"/>
        </w:rPr>
      </w:pPr>
    </w:p>
    <w:p w:rsidR="005C2D26" w:rsidRPr="00F13395" w:rsidRDefault="005C2D26">
      <w:pPr>
        <w:spacing w:after="0" w:line="240" w:lineRule="auto"/>
        <w:rPr>
          <w:rFonts w:ascii="Garamond" w:eastAsia="Garamond" w:hAnsi="Garamond" w:cs="Garamond"/>
          <w:sz w:val="24"/>
          <w:szCs w:val="24"/>
          <w:lang w:val="pt-PT"/>
        </w:rPr>
      </w:pPr>
    </w:p>
    <w:p w:rsidR="005C2D26" w:rsidRPr="00F13395" w:rsidRDefault="005978C4">
      <w:pPr>
        <w:spacing w:after="0" w:line="240" w:lineRule="auto"/>
        <w:rPr>
          <w:rFonts w:ascii="Garamond" w:eastAsia="Garamond" w:hAnsi="Garamond" w:cs="Garamond"/>
          <w:b/>
          <w:sz w:val="24"/>
          <w:szCs w:val="24"/>
          <w:lang w:val="pt-PT"/>
        </w:rPr>
      </w:pPr>
      <w:r w:rsidRPr="00F13395">
        <w:rPr>
          <w:rFonts w:ascii="Garamond" w:eastAsia="Garamond" w:hAnsi="Garamond" w:cs="Garamond"/>
          <w:b/>
          <w:sz w:val="24"/>
          <w:szCs w:val="24"/>
          <w:lang w:val="pt-PT"/>
        </w:rPr>
        <w:t>Acerca do(a) Autor(a) da Resenha</w:t>
      </w:r>
    </w:p>
    <w:p w:rsidR="005C2D26" w:rsidRPr="00F13395" w:rsidRDefault="005C2D26">
      <w:pPr>
        <w:spacing w:after="0" w:line="240" w:lineRule="auto"/>
        <w:rPr>
          <w:rFonts w:ascii="Garamond" w:eastAsia="Garamond" w:hAnsi="Garamond" w:cs="Garamond"/>
          <w:sz w:val="24"/>
          <w:szCs w:val="24"/>
          <w:lang w:val="pt-PT"/>
        </w:rPr>
      </w:pPr>
    </w:p>
    <w:p w:rsidR="006970DA" w:rsidRPr="006970DA" w:rsidRDefault="00065C50" w:rsidP="00611048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  <w:highlight w:val="cyan"/>
        </w:rPr>
      </w:pPr>
      <w:r w:rsidRPr="006970DA">
        <w:rPr>
          <w:rFonts w:ascii="Garamond" w:eastAsia="Garamond" w:hAnsi="Garamond" w:cs="Garamond"/>
          <w:b/>
          <w:sz w:val="24"/>
          <w:szCs w:val="24"/>
          <w:highlight w:val="cyan"/>
          <w:lang w:val="pt-PT"/>
        </w:rPr>
        <w:t>Isabel Pinho</w:t>
      </w:r>
      <w:proofErr w:type="gramStart"/>
      <w:r w:rsidRPr="006970DA">
        <w:rPr>
          <w:rFonts w:ascii="Garamond" w:eastAsia="Garamond" w:hAnsi="Garamond" w:cs="Garamond"/>
          <w:b/>
          <w:sz w:val="24"/>
          <w:szCs w:val="24"/>
          <w:highlight w:val="cyan"/>
          <w:lang w:val="pt-PT"/>
        </w:rPr>
        <w:t>,</w:t>
      </w:r>
      <w:proofErr w:type="gramEnd"/>
      <w:r w:rsidR="005978C4" w:rsidRPr="006970DA">
        <w:rPr>
          <w:rFonts w:ascii="Garamond" w:eastAsia="Garamond" w:hAnsi="Garamond" w:cs="Garamond"/>
          <w:b/>
          <w:sz w:val="24"/>
          <w:szCs w:val="24"/>
          <w:highlight w:val="cyan"/>
          <w:lang w:val="pt-PT"/>
        </w:rPr>
        <w:t xml:space="preserve"> </w:t>
      </w:r>
      <w:r w:rsidR="006970DA" w:rsidRPr="006970DA">
        <w:rPr>
          <w:rFonts w:ascii="Garamond" w:eastAsia="Garamond" w:hAnsi="Garamond" w:cs="Garamond"/>
          <w:sz w:val="24"/>
          <w:szCs w:val="24"/>
          <w:highlight w:val="cyan"/>
          <w:lang w:val="pt-PT"/>
        </w:rPr>
        <w:t>é doutorada</w:t>
      </w:r>
      <w:r w:rsidR="006970DA" w:rsidRPr="006970DA">
        <w:rPr>
          <w:rFonts w:ascii="Garamond" w:eastAsia="Garamond" w:hAnsi="Garamond" w:cs="Garamond"/>
          <w:b/>
          <w:sz w:val="24"/>
          <w:szCs w:val="24"/>
          <w:highlight w:val="cyan"/>
          <w:lang w:val="pt-PT"/>
        </w:rPr>
        <w:t xml:space="preserve"> </w:t>
      </w:r>
      <w:r w:rsidR="006970DA" w:rsidRPr="006970DA">
        <w:rPr>
          <w:rFonts w:ascii="Garamond" w:eastAsia="Garamond" w:hAnsi="Garamond" w:cs="Garamond"/>
          <w:sz w:val="24"/>
          <w:szCs w:val="24"/>
          <w:highlight w:val="cyan"/>
          <w:lang w:val="pt-PT"/>
        </w:rPr>
        <w:t>em</w:t>
      </w:r>
      <w:r w:rsidR="006970DA" w:rsidRPr="006970DA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 </w:t>
      </w:r>
      <w:r w:rsidR="006970DA" w:rsidRPr="006970DA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Gestão pela </w:t>
      </w:r>
      <w:r w:rsidR="006970DA" w:rsidRPr="006970DA">
        <w:rPr>
          <w:rFonts w:ascii="Garamond" w:eastAsia="Garamond" w:hAnsi="Garamond" w:cs="Garamond"/>
          <w:sz w:val="24"/>
          <w:szCs w:val="24"/>
          <w:highlight w:val="cyan"/>
          <w:lang w:val="pt-PT"/>
        </w:rPr>
        <w:t>Universi</w:t>
      </w:r>
      <w:r w:rsidR="006970DA" w:rsidRPr="006970DA">
        <w:rPr>
          <w:rFonts w:ascii="Garamond" w:eastAsia="Garamond" w:hAnsi="Garamond" w:cs="Garamond"/>
          <w:sz w:val="24"/>
          <w:szCs w:val="24"/>
          <w:highlight w:val="cyan"/>
          <w:lang w:val="pt-PT"/>
        </w:rPr>
        <w:t>dade de</w:t>
      </w:r>
      <w:r w:rsidR="006970DA" w:rsidRPr="006970DA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 Aveiro, Portugal</w:t>
      </w:r>
      <w:r w:rsidR="006970DA">
        <w:rPr>
          <w:rFonts w:ascii="Garamond" w:eastAsia="Garamond" w:hAnsi="Garamond" w:cs="Garamond"/>
          <w:sz w:val="24"/>
          <w:szCs w:val="24"/>
          <w:highlight w:val="cyan"/>
          <w:lang w:val="pt-PT"/>
        </w:rPr>
        <w:t>.</w:t>
      </w:r>
      <w:r w:rsidR="006970DA" w:rsidRPr="006970DA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 </w:t>
      </w:r>
      <w:proofErr w:type="spellStart"/>
      <w:r w:rsidR="006970DA" w:rsidRPr="006970DA">
        <w:rPr>
          <w:rFonts w:ascii="Garamond" w:eastAsia="Garamond" w:hAnsi="Garamond" w:cs="Garamond"/>
          <w:sz w:val="24"/>
          <w:szCs w:val="24"/>
          <w:highlight w:val="cyan"/>
          <w:lang w:val="pt-PT"/>
        </w:rPr>
        <w:t>Post-doc</w:t>
      </w:r>
      <w:proofErr w:type="spellEnd"/>
      <w:r w:rsidR="006970DA" w:rsidRPr="006970DA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 </w:t>
      </w:r>
      <w:r w:rsidR="006970DA" w:rsidRPr="006970DA">
        <w:rPr>
          <w:rFonts w:ascii="Tahoma" w:eastAsia="Garamond" w:hAnsi="Tahoma" w:cs="Tahoma"/>
          <w:sz w:val="24"/>
          <w:szCs w:val="24"/>
          <w:highlight w:val="cyan"/>
        </w:rPr>
        <w:t>﻿</w:t>
      </w:r>
      <w:r w:rsidR="006970DA" w:rsidRPr="006970DA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em Educação Superior pela Universidade Federal do </w:t>
      </w:r>
      <w:r w:rsidR="006970DA">
        <w:rPr>
          <w:rFonts w:ascii="Garamond" w:eastAsia="Garamond" w:hAnsi="Garamond" w:cs="Garamond"/>
          <w:sz w:val="24"/>
          <w:szCs w:val="24"/>
          <w:highlight w:val="cyan"/>
          <w:lang w:val="pt-PT"/>
        </w:rPr>
        <w:t>Rio Grande do Sul, Br</w:t>
      </w:r>
      <w:r w:rsidR="006970DA" w:rsidRPr="006970DA">
        <w:rPr>
          <w:rFonts w:ascii="Garamond" w:eastAsia="Garamond" w:hAnsi="Garamond" w:cs="Garamond"/>
          <w:sz w:val="24"/>
          <w:szCs w:val="24"/>
          <w:highlight w:val="cyan"/>
          <w:lang w:val="pt-PT"/>
        </w:rPr>
        <w:t>a</w:t>
      </w:r>
      <w:r w:rsidR="006970DA">
        <w:rPr>
          <w:rFonts w:ascii="Garamond" w:eastAsia="Garamond" w:hAnsi="Garamond" w:cs="Garamond"/>
          <w:sz w:val="24"/>
          <w:szCs w:val="24"/>
          <w:highlight w:val="cyan"/>
          <w:lang w:val="pt-PT"/>
        </w:rPr>
        <w:t>s</w:t>
      </w:r>
      <w:r w:rsidR="006970DA" w:rsidRPr="006970DA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il, </w:t>
      </w:r>
      <w:r w:rsidR="006970DA">
        <w:rPr>
          <w:rFonts w:ascii="Garamond" w:eastAsia="Garamond" w:hAnsi="Garamond" w:cs="Garamond"/>
          <w:sz w:val="24"/>
          <w:szCs w:val="24"/>
          <w:highlight w:val="cyan"/>
          <w:lang w:val="pt-PT"/>
        </w:rPr>
        <w:t>sobre Redes de Pesquisa</w:t>
      </w:r>
      <w:r w:rsidR="006970DA" w:rsidRPr="006970DA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. </w:t>
      </w:r>
      <w:proofErr w:type="spellStart"/>
      <w:r w:rsidR="006970DA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>Post-doc</w:t>
      </w:r>
      <w:proofErr w:type="spellEnd"/>
      <w:r w:rsidR="006970DA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 </w:t>
      </w:r>
      <w:r w:rsidR="006970DA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>sobre Avaliação</w:t>
      </w:r>
      <w:r w:rsidR="006970DA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 </w:t>
      </w:r>
      <w:r w:rsidR="00C67868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>da Pesquisa e Impacto, da UA</w:t>
      </w:r>
      <w:r w:rsidR="006970DA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. </w:t>
      </w:r>
      <w:r w:rsidR="006970DA" w:rsidRPr="006970DA">
        <w:rPr>
          <w:rFonts w:ascii="Tahoma" w:eastAsia="Garamond" w:hAnsi="Tahoma" w:cs="Tahoma"/>
          <w:sz w:val="24"/>
          <w:szCs w:val="24"/>
          <w:highlight w:val="cyan"/>
        </w:rPr>
        <w:t>﻿</w:t>
      </w:r>
      <w:r w:rsidR="006970DA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>E</w:t>
      </w:r>
      <w:r w:rsidR="00C67868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specialista em Gestão do Conhecimento, </w:t>
      </w:r>
      <w:proofErr w:type="spellStart"/>
      <w:r w:rsidR="00C67868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>Gestã</w:t>
      </w:r>
      <w:proofErr w:type="spellEnd"/>
      <w:r w:rsidR="00C67868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 de </w:t>
      </w:r>
      <w:r w:rsid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>Dados e Avaliação</w:t>
      </w:r>
      <w:r w:rsidR="006970DA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. </w:t>
      </w:r>
      <w:r w:rsidR="00C67868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Tem Mestrado em Gestão da Informação e Mestrado em </w:t>
      </w:r>
      <w:r w:rsid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Gestão Pública. </w:t>
      </w:r>
      <w:r w:rsidR="00C67868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>Membro do</w:t>
      </w:r>
      <w:r w:rsidR="006970DA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 </w:t>
      </w:r>
      <w:proofErr w:type="spellStart"/>
      <w:r w:rsidR="006970DA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>Latin</w:t>
      </w:r>
      <w:proofErr w:type="spellEnd"/>
      <w:r w:rsidR="006970DA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 </w:t>
      </w:r>
      <w:proofErr w:type="spellStart"/>
      <w:r w:rsidR="006970DA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>American</w:t>
      </w:r>
      <w:proofErr w:type="spellEnd"/>
      <w:r w:rsidR="006970DA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 </w:t>
      </w:r>
      <w:proofErr w:type="spellStart"/>
      <w:r w:rsidR="006970DA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>Studies</w:t>
      </w:r>
      <w:proofErr w:type="spellEnd"/>
      <w:r w:rsidR="006970DA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 </w:t>
      </w:r>
      <w:proofErr w:type="spellStart"/>
      <w:r w:rsidR="006970DA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>Association</w:t>
      </w:r>
      <w:proofErr w:type="spellEnd"/>
      <w:r w:rsidR="006970DA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, </w:t>
      </w:r>
      <w:proofErr w:type="spellStart"/>
      <w:r w:rsidR="006970DA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>University</w:t>
      </w:r>
      <w:proofErr w:type="spellEnd"/>
      <w:r w:rsidR="006970DA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 </w:t>
      </w:r>
      <w:proofErr w:type="spellStart"/>
      <w:r w:rsidR="006970DA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>of</w:t>
      </w:r>
      <w:proofErr w:type="spellEnd"/>
      <w:r w:rsidR="006970DA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 </w:t>
      </w:r>
      <w:proofErr w:type="spellStart"/>
      <w:r w:rsidR="006970DA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>Pittsburg</w:t>
      </w:r>
      <w:proofErr w:type="spellEnd"/>
      <w:r w:rsidR="00C67868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, Membro do </w:t>
      </w:r>
      <w:proofErr w:type="spellStart"/>
      <w:r w:rsidR="006970DA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>InovAval</w:t>
      </w:r>
      <w:proofErr w:type="spellEnd"/>
      <w:r w:rsidR="006970DA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>- Inovação e Avaliação na Universidade.</w:t>
      </w:r>
      <w:r w:rsidR="00C67868" w:rsidRPr="00C67868">
        <w:rPr>
          <w:rFonts w:ascii="Garamond" w:eastAsia="Garamond" w:hAnsi="Garamond" w:cs="Garamond"/>
          <w:sz w:val="24"/>
          <w:szCs w:val="24"/>
          <w:highlight w:val="cyan"/>
          <w:lang w:val="pt-PT"/>
        </w:rPr>
        <w:t xml:space="preserve"> </w:t>
      </w:r>
      <w:proofErr w:type="spellStart"/>
      <w:r w:rsidR="006970DA" w:rsidRPr="006970DA">
        <w:rPr>
          <w:rFonts w:ascii="Garamond" w:eastAsia="Garamond" w:hAnsi="Garamond" w:cs="Garamond"/>
          <w:sz w:val="24"/>
          <w:szCs w:val="24"/>
          <w:highlight w:val="cyan"/>
        </w:rPr>
        <w:t>Membr</w:t>
      </w:r>
      <w:r w:rsidR="00C67868">
        <w:rPr>
          <w:rFonts w:ascii="Garamond" w:eastAsia="Garamond" w:hAnsi="Garamond" w:cs="Garamond"/>
          <w:sz w:val="24"/>
          <w:szCs w:val="24"/>
          <w:highlight w:val="cyan"/>
        </w:rPr>
        <w:t>o</w:t>
      </w:r>
      <w:proofErr w:type="spellEnd"/>
      <w:r w:rsidR="00C67868">
        <w:rPr>
          <w:rFonts w:ascii="Garamond" w:eastAsia="Garamond" w:hAnsi="Garamond" w:cs="Garamond"/>
          <w:sz w:val="24"/>
          <w:szCs w:val="24"/>
          <w:highlight w:val="cyan"/>
        </w:rPr>
        <w:t xml:space="preserve"> do</w:t>
      </w:r>
      <w:r w:rsidR="006970DA" w:rsidRPr="006970DA">
        <w:rPr>
          <w:rFonts w:ascii="Garamond" w:eastAsia="Garamond" w:hAnsi="Garamond" w:cs="Garamond"/>
          <w:sz w:val="24"/>
          <w:szCs w:val="24"/>
          <w:highlight w:val="cyan"/>
        </w:rPr>
        <w:t xml:space="preserve"> GOVCOPP - Governance, Competitiveness and Public Policies.</w:t>
      </w:r>
    </w:p>
    <w:p w:rsidR="005C2D26" w:rsidRPr="006970DA" w:rsidRDefault="005C2D26">
      <w:pPr>
        <w:spacing w:after="0" w:line="240" w:lineRule="auto"/>
        <w:rPr>
          <w:rFonts w:ascii="Garamond" w:eastAsia="Garamond" w:hAnsi="Garamond" w:cs="Garamond"/>
          <w:b/>
          <w:sz w:val="24"/>
          <w:szCs w:val="24"/>
          <w:highlight w:val="cyan"/>
        </w:rPr>
      </w:pPr>
    </w:p>
    <w:p w:rsidR="005C2D26" w:rsidRPr="006970DA" w:rsidRDefault="005978C4">
      <w:pPr>
        <w:spacing w:after="0" w:line="240" w:lineRule="auto"/>
        <w:rPr>
          <w:rFonts w:ascii="Garamond" w:eastAsia="Garamond" w:hAnsi="Garamond" w:cs="Garamond"/>
          <w:i/>
        </w:rPr>
      </w:pPr>
      <w:r w:rsidRPr="006970DA">
        <w:br w:type="page"/>
      </w:r>
    </w:p>
    <w:p w:rsidR="005C2D26" w:rsidRPr="006970DA" w:rsidRDefault="005978C4">
      <w:pPr>
        <w:spacing w:after="0"/>
        <w:ind w:left="-180" w:right="-180"/>
        <w:jc w:val="center"/>
        <w:rPr>
          <w:rFonts w:ascii="Garamond" w:eastAsia="Garamond" w:hAnsi="Garamond" w:cs="Garamond"/>
          <w:i/>
        </w:rPr>
      </w:pPr>
      <w:r>
        <w:rPr>
          <w:noProof/>
          <w:lang w:val="pt-PT"/>
        </w:rPr>
        <w:lastRenderedPageBreak/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409575</wp:posOffset>
            </wp:positionH>
            <wp:positionV relativeFrom="paragraph">
              <wp:posOffset>142875</wp:posOffset>
            </wp:positionV>
            <wp:extent cx="3838575" cy="830898"/>
            <wp:effectExtent l="0" t="0" r="0" b="0"/>
            <wp:wrapSquare wrapText="bothSides" distT="0" distB="0" distL="114300" distR="114300"/>
            <wp:docPr id="2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8308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PT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4362450</wp:posOffset>
            </wp:positionH>
            <wp:positionV relativeFrom="paragraph">
              <wp:posOffset>0</wp:posOffset>
            </wp:positionV>
            <wp:extent cx="1133475" cy="1133475"/>
            <wp:effectExtent l="0" t="0" r="0" b="0"/>
            <wp:wrapSquare wrapText="bothSides" distT="0" distB="0" distL="114300" distR="114300"/>
            <wp:docPr id="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C2D26" w:rsidRPr="006970DA" w:rsidRDefault="005C2D26">
      <w:pPr>
        <w:spacing w:after="0" w:line="240" w:lineRule="auto"/>
        <w:rPr>
          <w:rFonts w:ascii="Garamond" w:eastAsia="Garamond" w:hAnsi="Garamond" w:cs="Garamond"/>
          <w:i/>
          <w:sz w:val="24"/>
          <w:szCs w:val="24"/>
        </w:rPr>
      </w:pPr>
    </w:p>
    <w:p w:rsidR="005C2D26" w:rsidRPr="006970DA" w:rsidRDefault="005C2D26">
      <w:pPr>
        <w:spacing w:after="0" w:line="240" w:lineRule="auto"/>
        <w:rPr>
          <w:rFonts w:ascii="Garamond" w:eastAsia="Garamond" w:hAnsi="Garamond" w:cs="Garamond"/>
          <w:i/>
          <w:sz w:val="24"/>
          <w:szCs w:val="24"/>
        </w:rPr>
      </w:pPr>
    </w:p>
    <w:p w:rsidR="005C2D26" w:rsidRPr="006970DA" w:rsidRDefault="005C2D26">
      <w:pPr>
        <w:spacing w:after="0" w:line="240" w:lineRule="auto"/>
        <w:rPr>
          <w:rFonts w:ascii="Garamond" w:eastAsia="Garamond" w:hAnsi="Garamond" w:cs="Garamond"/>
          <w:i/>
          <w:sz w:val="24"/>
          <w:szCs w:val="24"/>
        </w:rPr>
      </w:pPr>
    </w:p>
    <w:p w:rsidR="005C2D26" w:rsidRPr="006970DA" w:rsidRDefault="005C2D26">
      <w:pPr>
        <w:spacing w:after="0" w:line="240" w:lineRule="auto"/>
        <w:rPr>
          <w:rFonts w:ascii="Garamond" w:eastAsia="Garamond" w:hAnsi="Garamond" w:cs="Garamond"/>
          <w:i/>
          <w:sz w:val="24"/>
          <w:szCs w:val="24"/>
        </w:rPr>
      </w:pPr>
    </w:p>
    <w:p w:rsidR="005C2D26" w:rsidRPr="006970DA" w:rsidRDefault="005C2D26">
      <w:pPr>
        <w:spacing w:after="0" w:line="240" w:lineRule="auto"/>
        <w:rPr>
          <w:rFonts w:ascii="Garamond" w:eastAsia="Garamond" w:hAnsi="Garamond" w:cs="Garamond"/>
          <w:i/>
          <w:sz w:val="24"/>
          <w:szCs w:val="24"/>
        </w:rPr>
      </w:pPr>
    </w:p>
    <w:p w:rsidR="005C2D26" w:rsidRPr="006970DA" w:rsidRDefault="005C2D26">
      <w:pPr>
        <w:spacing w:after="0" w:line="240" w:lineRule="auto"/>
        <w:rPr>
          <w:rFonts w:ascii="Garamond" w:eastAsia="Garamond" w:hAnsi="Garamond" w:cs="Garamond"/>
          <w:i/>
          <w:sz w:val="24"/>
          <w:szCs w:val="24"/>
        </w:rPr>
      </w:pPr>
    </w:p>
    <w:p w:rsidR="005C2D26" w:rsidRPr="006970DA" w:rsidRDefault="005C2D26">
      <w:pPr>
        <w:spacing w:after="0" w:line="240" w:lineRule="auto"/>
        <w:rPr>
          <w:rFonts w:ascii="Garamond" w:eastAsia="Garamond" w:hAnsi="Garamond" w:cs="Garamond"/>
          <w:i/>
          <w:sz w:val="24"/>
          <w:szCs w:val="24"/>
        </w:rPr>
      </w:pPr>
    </w:p>
    <w:p w:rsidR="005C2D26" w:rsidRPr="00F13395" w:rsidRDefault="005978C4">
      <w:pPr>
        <w:spacing w:after="0" w:line="240" w:lineRule="auto"/>
        <w:rPr>
          <w:rFonts w:ascii="Garamond" w:eastAsia="Garamond" w:hAnsi="Garamond" w:cs="Garamond"/>
          <w:sz w:val="24"/>
          <w:szCs w:val="24"/>
          <w:lang w:val="pt-PT"/>
        </w:rPr>
      </w:pPr>
      <w:bookmarkStart w:id="1" w:name="_heading=h.gjdgxs" w:colFirst="0" w:colLast="0"/>
      <w:bookmarkEnd w:id="1"/>
      <w:r>
        <w:rPr>
          <w:rFonts w:ascii="Garamond" w:eastAsia="Garamond" w:hAnsi="Garamond" w:cs="Garamond"/>
          <w:noProof/>
          <w:sz w:val="24"/>
          <w:szCs w:val="24"/>
          <w:lang w:val="pt-PT"/>
        </w:rPr>
        <w:drawing>
          <wp:inline distT="0" distB="0" distL="0" distR="0">
            <wp:extent cx="1117600" cy="393700"/>
            <wp:effectExtent l="0" t="0" r="0" b="0"/>
            <wp:docPr id="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39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13395">
        <w:rPr>
          <w:rFonts w:ascii="Garamond" w:eastAsia="Garamond" w:hAnsi="Garamond" w:cs="Garamond"/>
          <w:sz w:val="24"/>
          <w:szCs w:val="24"/>
          <w:lang w:val="pt-PT"/>
        </w:rPr>
        <w:t xml:space="preserve"> O Copyright e retido pelo/a o autor/a (ou primeiro </w:t>
      </w:r>
      <w:proofErr w:type="spellStart"/>
      <w:r w:rsidRPr="00F13395">
        <w:rPr>
          <w:rFonts w:ascii="Garamond" w:eastAsia="Garamond" w:hAnsi="Garamond" w:cs="Garamond"/>
          <w:sz w:val="24"/>
          <w:szCs w:val="24"/>
          <w:lang w:val="pt-PT"/>
        </w:rPr>
        <w:t>co-autor</w:t>
      </w:r>
      <w:proofErr w:type="spellEnd"/>
      <w:r w:rsidRPr="00F13395">
        <w:rPr>
          <w:rFonts w:ascii="Garamond" w:eastAsia="Garamond" w:hAnsi="Garamond" w:cs="Garamond"/>
          <w:sz w:val="24"/>
          <w:szCs w:val="24"/>
          <w:lang w:val="pt-PT"/>
        </w:rPr>
        <w:t xml:space="preserve">) que outorga o direito da primeira publicação à revista </w:t>
      </w:r>
      <w:proofErr w:type="spellStart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>Education</w:t>
      </w:r>
      <w:proofErr w:type="spellEnd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 xml:space="preserve"> </w:t>
      </w:r>
      <w:proofErr w:type="spellStart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>Review</w:t>
      </w:r>
      <w:proofErr w:type="spellEnd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>/</w:t>
      </w:r>
      <w:proofErr w:type="spellStart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>Reseñas</w:t>
      </w:r>
      <w:proofErr w:type="spellEnd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 xml:space="preserve"> Educativas/Resenhas Educativas</w:t>
      </w:r>
      <w:r w:rsidRPr="00F13395">
        <w:rPr>
          <w:rFonts w:ascii="Garamond" w:eastAsia="Garamond" w:hAnsi="Garamond" w:cs="Garamond"/>
          <w:b/>
          <w:sz w:val="24"/>
          <w:szCs w:val="24"/>
          <w:lang w:val="pt-PT"/>
        </w:rPr>
        <w:t>.</w:t>
      </w:r>
      <w:r w:rsidRPr="00F13395">
        <w:rPr>
          <w:rFonts w:ascii="Garamond" w:eastAsia="Garamond" w:hAnsi="Garamond" w:cs="Garamond"/>
          <w:sz w:val="24"/>
          <w:szCs w:val="24"/>
          <w:lang w:val="pt-PT"/>
        </w:rPr>
        <w:t xml:space="preserve"> Más informação da licença de Creative </w:t>
      </w:r>
      <w:proofErr w:type="spellStart"/>
      <w:r w:rsidRPr="00F13395">
        <w:rPr>
          <w:rFonts w:ascii="Garamond" w:eastAsia="Garamond" w:hAnsi="Garamond" w:cs="Garamond"/>
          <w:sz w:val="24"/>
          <w:szCs w:val="24"/>
          <w:lang w:val="pt-PT"/>
        </w:rPr>
        <w:t>Commons</w:t>
      </w:r>
      <w:proofErr w:type="spellEnd"/>
      <w:r w:rsidRPr="00F13395">
        <w:rPr>
          <w:rFonts w:ascii="Garamond" w:eastAsia="Garamond" w:hAnsi="Garamond" w:cs="Garamond"/>
          <w:sz w:val="24"/>
          <w:szCs w:val="24"/>
          <w:lang w:val="pt-PT"/>
        </w:rPr>
        <w:t xml:space="preserve"> encontram-se em </w:t>
      </w:r>
      <w:hyperlink r:id="rId27">
        <w:r w:rsidRPr="00F13395">
          <w:rPr>
            <w:rFonts w:ascii="Garamond" w:eastAsia="Garamond" w:hAnsi="Garamond" w:cs="Garamond"/>
            <w:sz w:val="24"/>
            <w:szCs w:val="24"/>
            <w:lang w:val="pt-PT"/>
          </w:rPr>
          <w:t>http://creativecommons.org/licenses/by-nc-sa/3.0/</w:t>
        </w:r>
      </w:hyperlink>
      <w:proofErr w:type="gramStart"/>
      <w:r w:rsidRPr="00F13395">
        <w:rPr>
          <w:rFonts w:ascii="Garamond" w:eastAsia="Garamond" w:hAnsi="Garamond" w:cs="Garamond"/>
          <w:sz w:val="24"/>
          <w:szCs w:val="24"/>
          <w:lang w:val="pt-PT"/>
        </w:rPr>
        <w:t xml:space="preserve">   Qualquer</w:t>
      </w:r>
      <w:proofErr w:type="gramEnd"/>
      <w:r w:rsidRPr="00F13395">
        <w:rPr>
          <w:rFonts w:ascii="Garamond" w:eastAsia="Garamond" w:hAnsi="Garamond" w:cs="Garamond"/>
          <w:sz w:val="24"/>
          <w:szCs w:val="24"/>
          <w:lang w:val="pt-PT"/>
        </w:rPr>
        <w:t xml:space="preserve"> outro uso deve ser aprovado em conjunto pelo/s autor/</w:t>
      </w:r>
      <w:proofErr w:type="spellStart"/>
      <w:r w:rsidRPr="00F13395">
        <w:rPr>
          <w:rFonts w:ascii="Garamond" w:eastAsia="Garamond" w:hAnsi="Garamond" w:cs="Garamond"/>
          <w:sz w:val="24"/>
          <w:szCs w:val="24"/>
          <w:lang w:val="pt-PT"/>
        </w:rPr>
        <w:t>es</w:t>
      </w:r>
      <w:proofErr w:type="spellEnd"/>
      <w:r w:rsidRPr="00F13395">
        <w:rPr>
          <w:rFonts w:ascii="Garamond" w:eastAsia="Garamond" w:hAnsi="Garamond" w:cs="Garamond"/>
          <w:sz w:val="24"/>
          <w:szCs w:val="24"/>
          <w:lang w:val="pt-PT"/>
        </w:rPr>
        <w:t xml:space="preserve"> e por AAPE/EPAA. AAPE/EPAA é </w:t>
      </w:r>
      <w:proofErr w:type="gramStart"/>
      <w:r w:rsidRPr="00F13395">
        <w:rPr>
          <w:rFonts w:ascii="Garamond" w:eastAsia="Garamond" w:hAnsi="Garamond" w:cs="Garamond"/>
          <w:sz w:val="24"/>
          <w:szCs w:val="24"/>
          <w:lang w:val="pt-PT"/>
        </w:rPr>
        <w:t>publicada  por</w:t>
      </w:r>
      <w:proofErr w:type="gramEnd"/>
      <w:r w:rsidRPr="00F13395">
        <w:rPr>
          <w:rFonts w:ascii="Garamond" w:eastAsia="Garamond" w:hAnsi="Garamond" w:cs="Garamond"/>
          <w:sz w:val="24"/>
          <w:szCs w:val="24"/>
          <w:lang w:val="pt-PT"/>
        </w:rPr>
        <w:t xml:space="preserve"> </w:t>
      </w:r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 xml:space="preserve">Mary </w:t>
      </w:r>
      <w:proofErr w:type="spellStart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>Lou</w:t>
      </w:r>
      <w:proofErr w:type="spellEnd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 xml:space="preserve"> </w:t>
      </w:r>
      <w:proofErr w:type="spellStart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>Fulton</w:t>
      </w:r>
      <w:proofErr w:type="spellEnd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 xml:space="preserve"> </w:t>
      </w:r>
      <w:proofErr w:type="spellStart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>Institute</w:t>
      </w:r>
      <w:proofErr w:type="spellEnd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 xml:space="preserve"> </w:t>
      </w:r>
      <w:proofErr w:type="spellStart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>Teachers</w:t>
      </w:r>
      <w:proofErr w:type="spellEnd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 xml:space="preserve"> </w:t>
      </w:r>
      <w:proofErr w:type="spellStart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>College</w:t>
      </w:r>
      <w:proofErr w:type="spellEnd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 xml:space="preserve"> da Arizona </w:t>
      </w:r>
      <w:proofErr w:type="spellStart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>State</w:t>
      </w:r>
      <w:proofErr w:type="spellEnd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 xml:space="preserve"> </w:t>
      </w:r>
      <w:proofErr w:type="spellStart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>University</w:t>
      </w:r>
      <w:proofErr w:type="spellEnd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 xml:space="preserve"> .</w:t>
      </w:r>
    </w:p>
    <w:p w:rsidR="005C2D26" w:rsidRPr="00F13395" w:rsidRDefault="005C2D26">
      <w:pPr>
        <w:spacing w:after="0" w:line="240" w:lineRule="auto"/>
        <w:rPr>
          <w:rFonts w:ascii="Garamond" w:eastAsia="Garamond" w:hAnsi="Garamond" w:cs="Garamond"/>
          <w:sz w:val="24"/>
          <w:szCs w:val="24"/>
          <w:lang w:val="pt-PT"/>
        </w:rPr>
      </w:pPr>
    </w:p>
    <w:p w:rsidR="005C2D26" w:rsidRPr="00F13395" w:rsidRDefault="005978C4">
      <w:pPr>
        <w:spacing w:after="0" w:line="240" w:lineRule="auto"/>
        <w:rPr>
          <w:rFonts w:ascii="Garamond" w:eastAsia="Garamond" w:hAnsi="Garamond" w:cs="Garamond"/>
          <w:b/>
          <w:sz w:val="24"/>
          <w:szCs w:val="24"/>
          <w:lang w:val="pt-PT"/>
        </w:rPr>
      </w:pPr>
      <w:r w:rsidRPr="00F13395">
        <w:rPr>
          <w:rFonts w:ascii="Garamond" w:eastAsia="Garamond" w:hAnsi="Garamond" w:cs="Garamond"/>
          <w:b/>
          <w:sz w:val="24"/>
          <w:szCs w:val="24"/>
          <w:lang w:val="pt-PT"/>
        </w:rPr>
        <w:t xml:space="preserve">Nota: </w:t>
      </w:r>
      <w:r w:rsidRPr="00F13395">
        <w:rPr>
          <w:rFonts w:ascii="Garamond" w:eastAsia="Garamond" w:hAnsi="Garamond" w:cs="Garamond"/>
          <w:sz w:val="24"/>
          <w:szCs w:val="24"/>
          <w:lang w:val="pt-PT"/>
        </w:rPr>
        <w:t>Os pontos de vista ou opiniões apresentadas nas resenhas de livros são exclusivamente do (s) autor (</w:t>
      </w:r>
      <w:proofErr w:type="spellStart"/>
      <w:r w:rsidRPr="00F13395">
        <w:rPr>
          <w:rFonts w:ascii="Garamond" w:eastAsia="Garamond" w:hAnsi="Garamond" w:cs="Garamond"/>
          <w:sz w:val="24"/>
          <w:szCs w:val="24"/>
          <w:lang w:val="pt-PT"/>
        </w:rPr>
        <w:t>es</w:t>
      </w:r>
      <w:proofErr w:type="spellEnd"/>
      <w:r w:rsidRPr="00F13395">
        <w:rPr>
          <w:rFonts w:ascii="Garamond" w:eastAsia="Garamond" w:hAnsi="Garamond" w:cs="Garamond"/>
          <w:sz w:val="24"/>
          <w:szCs w:val="24"/>
          <w:lang w:val="pt-PT"/>
        </w:rPr>
        <w:t>) e não representam necessariamente os da revista.</w:t>
      </w:r>
    </w:p>
    <w:p w:rsidR="005C2D26" w:rsidRPr="00F13395" w:rsidRDefault="005C2D26">
      <w:pPr>
        <w:spacing w:after="0" w:line="240" w:lineRule="auto"/>
        <w:rPr>
          <w:rFonts w:ascii="Garamond" w:eastAsia="Garamond" w:hAnsi="Garamond" w:cs="Garamond"/>
          <w:sz w:val="24"/>
          <w:szCs w:val="24"/>
          <w:lang w:val="pt-PT"/>
        </w:rPr>
      </w:pPr>
    </w:p>
    <w:p w:rsidR="005C2D26" w:rsidRPr="00F13395" w:rsidRDefault="005978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Garamond" w:eastAsia="Garamond" w:hAnsi="Garamond" w:cs="Garamond"/>
          <w:color w:val="C94909"/>
          <w:sz w:val="24"/>
          <w:szCs w:val="24"/>
          <w:lang w:val="pt-PT"/>
        </w:rPr>
      </w:pPr>
      <w:r w:rsidRPr="00F13395">
        <w:rPr>
          <w:rFonts w:ascii="Garamond" w:eastAsia="Garamond" w:hAnsi="Garamond" w:cs="Garamond"/>
          <w:sz w:val="24"/>
          <w:szCs w:val="24"/>
          <w:lang w:val="pt-PT"/>
        </w:rPr>
        <w:t xml:space="preserve"> </w:t>
      </w:r>
      <w:proofErr w:type="spellStart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>Education</w:t>
      </w:r>
      <w:proofErr w:type="spellEnd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 xml:space="preserve"> </w:t>
      </w:r>
      <w:proofErr w:type="spellStart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>Review</w:t>
      </w:r>
      <w:proofErr w:type="spellEnd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>/</w:t>
      </w:r>
      <w:proofErr w:type="spellStart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>Reseñas</w:t>
      </w:r>
      <w:proofErr w:type="spellEnd"/>
      <w:r w:rsidRPr="00F13395">
        <w:rPr>
          <w:rFonts w:ascii="Garamond" w:eastAsia="Garamond" w:hAnsi="Garamond" w:cs="Garamond"/>
          <w:i/>
          <w:sz w:val="24"/>
          <w:szCs w:val="24"/>
          <w:lang w:val="pt-PT"/>
        </w:rPr>
        <w:t xml:space="preserve"> Educativas/Resenhas Educativas </w:t>
      </w:r>
      <w:r w:rsidRPr="00F13395">
        <w:rPr>
          <w:rFonts w:ascii="Garamond" w:eastAsia="Garamond" w:hAnsi="Garamond" w:cs="Garamond"/>
          <w:sz w:val="24"/>
          <w:szCs w:val="24"/>
          <w:lang w:val="pt-PT"/>
        </w:rPr>
        <w:t xml:space="preserve">está no </w:t>
      </w:r>
      <w:proofErr w:type="spellStart"/>
      <w:r w:rsidRPr="00F13395">
        <w:rPr>
          <w:rFonts w:ascii="Garamond" w:eastAsia="Garamond" w:hAnsi="Garamond" w:cs="Garamond"/>
          <w:sz w:val="24"/>
          <w:szCs w:val="24"/>
          <w:lang w:val="pt-PT"/>
        </w:rPr>
        <w:t>Facebook</w:t>
      </w:r>
      <w:proofErr w:type="spellEnd"/>
      <w:r w:rsidRPr="00F13395">
        <w:rPr>
          <w:rFonts w:ascii="Garamond" w:eastAsia="Garamond" w:hAnsi="Garamond" w:cs="Garamond"/>
          <w:sz w:val="24"/>
          <w:szCs w:val="24"/>
          <w:lang w:val="pt-PT"/>
        </w:rPr>
        <w:t xml:space="preserve"> (https://www.facebook.com/pages/Education-Review/178358222192644) e no </w:t>
      </w:r>
      <w:proofErr w:type="spellStart"/>
      <w:r w:rsidRPr="00F13395">
        <w:rPr>
          <w:rFonts w:ascii="Garamond" w:eastAsia="Garamond" w:hAnsi="Garamond" w:cs="Garamond"/>
          <w:sz w:val="24"/>
          <w:szCs w:val="24"/>
          <w:lang w:val="pt-PT"/>
        </w:rPr>
        <w:t>Twitter</w:t>
      </w:r>
      <w:proofErr w:type="spellEnd"/>
      <w:r w:rsidRPr="00F13395">
        <w:rPr>
          <w:rFonts w:ascii="Garamond" w:eastAsia="Garamond" w:hAnsi="Garamond" w:cs="Garamond"/>
          <w:sz w:val="24"/>
          <w:szCs w:val="24"/>
          <w:lang w:val="pt-PT"/>
        </w:rPr>
        <w:t xml:space="preserve"> @</w:t>
      </w:r>
      <w:proofErr w:type="spellStart"/>
      <w:r w:rsidRPr="00F13395">
        <w:rPr>
          <w:rFonts w:ascii="Garamond" w:eastAsia="Garamond" w:hAnsi="Garamond" w:cs="Garamond"/>
          <w:sz w:val="24"/>
          <w:szCs w:val="24"/>
          <w:lang w:val="pt-PT"/>
        </w:rPr>
        <w:t>EducReview</w:t>
      </w:r>
      <w:proofErr w:type="spellEnd"/>
      <w:r>
        <w:rPr>
          <w:noProof/>
          <w:lang w:val="pt-PT"/>
        </w:rPr>
        <w:drawing>
          <wp:anchor distT="0" distB="0" distL="114935" distR="114935" simplePos="0" relativeHeight="251661312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6985</wp:posOffset>
            </wp:positionV>
            <wp:extent cx="211455" cy="299085"/>
            <wp:effectExtent l="0" t="0" r="0" b="0"/>
            <wp:wrapSquare wrapText="bothSides" distT="0" distB="0" distL="114935" distR="114935"/>
            <wp:docPr id="2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299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C2D26" w:rsidRPr="00F13395" w:rsidRDefault="005C2D26">
      <w:pPr>
        <w:spacing w:after="0" w:line="340" w:lineRule="auto"/>
        <w:jc w:val="center"/>
        <w:rPr>
          <w:rFonts w:ascii="Garamond" w:eastAsia="Garamond" w:hAnsi="Garamond" w:cs="Garamond"/>
          <w:color w:val="C94909"/>
          <w:sz w:val="24"/>
          <w:szCs w:val="24"/>
          <w:lang w:val="pt-PT"/>
        </w:rPr>
      </w:pPr>
    </w:p>
    <w:p w:rsidR="005C2D26" w:rsidRPr="00F13395" w:rsidRDefault="005C2D26">
      <w:pPr>
        <w:rPr>
          <w:rFonts w:ascii="Garamond" w:eastAsia="Garamond" w:hAnsi="Garamond" w:cs="Garamond"/>
          <w:lang w:val="pt-PT"/>
        </w:rPr>
      </w:pPr>
    </w:p>
    <w:p w:rsidR="003F0353" w:rsidRDefault="003F0353">
      <w:pPr>
        <w:rPr>
          <w:lang w:val="pt-PT"/>
        </w:rPr>
      </w:pPr>
    </w:p>
    <w:p w:rsidR="005C2D26" w:rsidRPr="00F13395" w:rsidRDefault="005C2D26">
      <w:pPr>
        <w:rPr>
          <w:lang w:val="pt-PT"/>
        </w:rPr>
      </w:pPr>
    </w:p>
    <w:sectPr w:rsidR="005C2D26" w:rsidRPr="00F13395">
      <w:type w:val="continuous"/>
      <w:pgSz w:w="12240" w:h="15840"/>
      <w:pgMar w:top="1440" w:right="135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D99" w:rsidRDefault="00CF3D99">
      <w:pPr>
        <w:spacing w:after="0" w:line="240" w:lineRule="auto"/>
      </w:pPr>
      <w:r>
        <w:separator/>
      </w:r>
    </w:p>
  </w:endnote>
  <w:endnote w:type="continuationSeparator" w:id="0">
    <w:p w:rsidR="00CF3D99" w:rsidRDefault="00C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T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D26" w:rsidRDefault="00CF3D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450"/>
      </w:tabs>
      <w:spacing w:after="0" w:line="240" w:lineRule="auto"/>
      <w:rPr>
        <w:rFonts w:ascii="Garamond" w:eastAsia="Garamond" w:hAnsi="Garamond" w:cs="Garamond"/>
        <w:color w:val="FF6600"/>
        <w:sz w:val="22"/>
        <w:szCs w:val="22"/>
      </w:rPr>
    </w:pPr>
    <w:r>
      <w:pict>
        <v:rect id="_x0000_i1026" style="width:0;height:1.5pt" o:hralign="center" o:hrstd="t" o:hr="t" fillcolor="#a0a0a0" stroked="f"/>
      </w:pict>
    </w:r>
  </w:p>
  <w:p w:rsidR="005C2D26" w:rsidRPr="009C7B7E" w:rsidRDefault="009C7B7E">
    <w:pPr>
      <w:spacing w:after="0" w:line="240" w:lineRule="auto"/>
      <w:rPr>
        <w:rFonts w:ascii="Garamond" w:eastAsia="Garamond" w:hAnsi="Garamond" w:cs="Garamond"/>
        <w:sz w:val="22"/>
        <w:szCs w:val="22"/>
        <w:lang w:val="pt-PT"/>
      </w:rPr>
    </w:pPr>
    <w:r>
      <w:rPr>
        <w:rFonts w:ascii="Garamond" w:eastAsia="Garamond" w:hAnsi="Garamond" w:cs="Garamond"/>
        <w:sz w:val="22"/>
        <w:szCs w:val="22"/>
        <w:highlight w:val="cyan"/>
        <w:lang w:val="pt-PT"/>
      </w:rPr>
      <w:t xml:space="preserve">Pinho, Isabel. </w:t>
    </w:r>
    <w:r w:rsidR="005978C4" w:rsidRPr="00F13395">
      <w:rPr>
        <w:rFonts w:ascii="Garamond" w:eastAsia="Garamond" w:hAnsi="Garamond" w:cs="Garamond"/>
        <w:sz w:val="22"/>
        <w:szCs w:val="22"/>
        <w:lang w:val="pt-PT"/>
      </w:rPr>
      <w:t>(</w:t>
    </w:r>
    <w:proofErr w:type="spellStart"/>
    <w:r w:rsidR="005978C4" w:rsidRPr="00F13395">
      <w:rPr>
        <w:rFonts w:ascii="Garamond" w:eastAsia="Garamond" w:hAnsi="Garamond" w:cs="Garamond"/>
        <w:sz w:val="22"/>
        <w:szCs w:val="22"/>
        <w:highlight w:val="yellow"/>
        <w:lang w:val="pt-PT"/>
      </w:rPr>
      <w:t>EdRev</w:t>
    </w:r>
    <w:proofErr w:type="spellEnd"/>
    <w:r w:rsidR="005978C4" w:rsidRPr="00F13395">
      <w:rPr>
        <w:rFonts w:ascii="Garamond" w:eastAsia="Garamond" w:hAnsi="Garamond" w:cs="Garamond"/>
        <w:sz w:val="22"/>
        <w:szCs w:val="22"/>
        <w:highlight w:val="yellow"/>
        <w:lang w:val="pt-PT"/>
      </w:rPr>
      <w:t xml:space="preserve"> colocará a data</w:t>
    </w:r>
    <w:r w:rsidR="005978C4" w:rsidRPr="00F13395">
      <w:rPr>
        <w:rFonts w:ascii="Garamond" w:eastAsia="Garamond" w:hAnsi="Garamond" w:cs="Garamond"/>
        <w:sz w:val="22"/>
        <w:szCs w:val="22"/>
        <w:lang w:val="pt-PT"/>
      </w:rPr>
      <w:t xml:space="preserve">). Resenha do </w:t>
    </w:r>
    <w:r w:rsidRPr="009C7B7E">
      <w:rPr>
        <w:rFonts w:ascii="Garamond" w:eastAsia="Garamond" w:hAnsi="Garamond" w:cs="Garamond"/>
        <w:i/>
        <w:sz w:val="22"/>
        <w:szCs w:val="22"/>
        <w:lang w:val="pt-PT"/>
      </w:rPr>
      <w:t>Enciclopédia Brasileira de Educação Superior</w:t>
    </w:r>
    <w:r w:rsidR="005978C4" w:rsidRPr="00F13395">
      <w:rPr>
        <w:rFonts w:ascii="Garamond" w:eastAsia="Garamond" w:hAnsi="Garamond" w:cs="Garamond"/>
        <w:sz w:val="22"/>
        <w:szCs w:val="22"/>
        <w:lang w:val="pt-PT"/>
      </w:rPr>
      <w:t xml:space="preserve"> por </w:t>
    </w:r>
    <w:r>
      <w:rPr>
        <w:rFonts w:ascii="Garamond" w:eastAsia="Garamond" w:hAnsi="Garamond" w:cs="Garamond"/>
        <w:sz w:val="22"/>
        <w:szCs w:val="22"/>
        <w:lang w:val="pt-PT"/>
      </w:rPr>
      <w:t xml:space="preserve">Morosini </w:t>
    </w:r>
    <w:proofErr w:type="spellStart"/>
    <w:r>
      <w:rPr>
        <w:rFonts w:ascii="Garamond" w:eastAsia="Garamond" w:hAnsi="Garamond" w:cs="Garamond"/>
        <w:sz w:val="22"/>
        <w:szCs w:val="22"/>
        <w:lang w:val="pt-PT"/>
      </w:rPr>
      <w:t>Marilia</w:t>
    </w:r>
    <w:proofErr w:type="spellEnd"/>
    <w:r>
      <w:rPr>
        <w:rFonts w:ascii="Garamond" w:eastAsia="Garamond" w:hAnsi="Garamond" w:cs="Garamond"/>
        <w:sz w:val="22"/>
        <w:szCs w:val="22"/>
        <w:lang w:val="pt-PT"/>
      </w:rPr>
      <w:t xml:space="preserve"> (</w:t>
    </w:r>
    <w:proofErr w:type="spellStart"/>
    <w:r>
      <w:rPr>
        <w:rFonts w:ascii="Garamond" w:eastAsia="Garamond" w:hAnsi="Garamond" w:cs="Garamond"/>
        <w:sz w:val="22"/>
        <w:szCs w:val="22"/>
        <w:lang w:val="pt-PT"/>
      </w:rPr>
      <w:t>org</w:t>
    </w:r>
    <w:proofErr w:type="spellEnd"/>
    <w:r>
      <w:rPr>
        <w:rFonts w:ascii="Garamond" w:eastAsia="Garamond" w:hAnsi="Garamond" w:cs="Garamond"/>
        <w:sz w:val="22"/>
        <w:szCs w:val="22"/>
        <w:lang w:val="pt-PT"/>
      </w:rPr>
      <w:t xml:space="preserve">). </w:t>
    </w:r>
    <w:proofErr w:type="spellStart"/>
    <w:r w:rsidRPr="009C7B7E">
      <w:rPr>
        <w:rFonts w:ascii="Garamond" w:eastAsia="Garamond" w:hAnsi="Garamond" w:cs="Garamond"/>
        <w:sz w:val="22"/>
        <w:szCs w:val="22"/>
        <w:lang w:val="pt-PT"/>
      </w:rPr>
      <w:t>EdiPucRs</w:t>
    </w:r>
    <w:proofErr w:type="spellEnd"/>
    <w:r w:rsidR="005978C4" w:rsidRPr="00F13395">
      <w:rPr>
        <w:rFonts w:ascii="Garamond" w:eastAsia="Garamond" w:hAnsi="Garamond" w:cs="Garamond"/>
        <w:sz w:val="22"/>
        <w:szCs w:val="22"/>
        <w:lang w:val="pt-PT"/>
      </w:rPr>
      <w:t xml:space="preserve">. </w:t>
    </w:r>
    <w:r w:rsidR="005978C4" w:rsidRPr="009C7B7E">
      <w:rPr>
        <w:rFonts w:ascii="Garamond" w:eastAsia="Garamond" w:hAnsi="Garamond" w:cs="Garamond"/>
        <w:i/>
        <w:sz w:val="22"/>
        <w:szCs w:val="22"/>
        <w:lang w:val="pt-PT"/>
      </w:rPr>
      <w:t>Resenhas Educativas</w:t>
    </w:r>
    <w:r w:rsidR="005978C4" w:rsidRPr="009C7B7E">
      <w:rPr>
        <w:rFonts w:ascii="Garamond" w:eastAsia="Garamond" w:hAnsi="Garamond" w:cs="Garamond"/>
        <w:sz w:val="22"/>
        <w:szCs w:val="22"/>
        <w:lang w:val="pt-PT"/>
      </w:rPr>
      <w:t xml:space="preserve">, </w:t>
    </w:r>
    <w:r w:rsidR="005978C4" w:rsidRPr="009C7B7E">
      <w:rPr>
        <w:rFonts w:ascii="Garamond" w:eastAsia="Garamond" w:hAnsi="Garamond" w:cs="Garamond"/>
        <w:i/>
        <w:sz w:val="22"/>
        <w:szCs w:val="22"/>
        <w:lang w:val="pt-PT"/>
      </w:rPr>
      <w:t>2X</w:t>
    </w:r>
    <w:r w:rsidR="005978C4" w:rsidRPr="009C7B7E">
      <w:rPr>
        <w:rFonts w:ascii="Garamond" w:eastAsia="Garamond" w:hAnsi="Garamond" w:cs="Garamond"/>
        <w:sz w:val="22"/>
        <w:szCs w:val="22"/>
        <w:lang w:val="pt-PT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D26" w:rsidRDefault="005C2D2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D26" w:rsidRDefault="005C2D2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D26" w:rsidRDefault="005C2D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450"/>
      <w:rPr>
        <w:rFonts w:ascii="Garamond" w:eastAsia="Garamond" w:hAnsi="Garamond" w:cs="Garamond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D99" w:rsidRDefault="00CF3D99">
      <w:pPr>
        <w:spacing w:after="0" w:line="240" w:lineRule="auto"/>
      </w:pPr>
      <w:r>
        <w:separator/>
      </w:r>
    </w:p>
  </w:footnote>
  <w:footnote w:type="continuationSeparator" w:id="0">
    <w:p w:rsidR="00CF3D99" w:rsidRDefault="00CF3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D26" w:rsidRDefault="005978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Garamond" w:eastAsia="Garamond" w:hAnsi="Garamond" w:cs="Garamond"/>
        <w:color w:val="000000"/>
        <w:sz w:val="22"/>
        <w:szCs w:val="22"/>
      </w:rPr>
    </w:pPr>
    <w:r>
      <w:rPr>
        <w:rFonts w:ascii="Garamond" w:eastAsia="Garamond" w:hAnsi="Garamond" w:cs="Garamond"/>
        <w:color w:val="000000"/>
        <w:sz w:val="22"/>
        <w:szCs w:val="22"/>
      </w:rPr>
      <w:fldChar w:fldCharType="begin"/>
    </w:r>
    <w:r>
      <w:rPr>
        <w:rFonts w:ascii="Garamond" w:eastAsia="Garamond" w:hAnsi="Garamond" w:cs="Garamond"/>
        <w:color w:val="000000"/>
        <w:sz w:val="22"/>
        <w:szCs w:val="22"/>
      </w:rPr>
      <w:instrText>PAGE</w:instrText>
    </w:r>
    <w:r>
      <w:rPr>
        <w:rFonts w:ascii="Garamond" w:eastAsia="Garamond" w:hAnsi="Garamond" w:cs="Garamond"/>
        <w:color w:val="000000"/>
        <w:sz w:val="22"/>
        <w:szCs w:val="22"/>
      </w:rPr>
      <w:fldChar w:fldCharType="separate"/>
    </w:r>
    <w:r w:rsidR="00611048">
      <w:rPr>
        <w:rFonts w:ascii="Garamond" w:eastAsia="Garamond" w:hAnsi="Garamond" w:cs="Garamond"/>
        <w:noProof/>
        <w:color w:val="000000"/>
        <w:sz w:val="22"/>
        <w:szCs w:val="22"/>
      </w:rPr>
      <w:t>6</w:t>
    </w:r>
    <w:r>
      <w:rPr>
        <w:rFonts w:ascii="Garamond" w:eastAsia="Garamond" w:hAnsi="Garamond" w:cs="Garamond"/>
        <w:color w:val="000000"/>
        <w:sz w:val="22"/>
        <w:szCs w:val="22"/>
      </w:rPr>
      <w:fldChar w:fldCharType="end"/>
    </w:r>
  </w:p>
  <w:p w:rsidR="005C2D26" w:rsidRDefault="005978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Garamond" w:eastAsia="Garamond" w:hAnsi="Garamond" w:cs="Garamond"/>
        <w:i/>
        <w:color w:val="000000"/>
        <w:sz w:val="22"/>
        <w:szCs w:val="22"/>
      </w:rPr>
    </w:pPr>
    <w:r>
      <w:rPr>
        <w:rFonts w:ascii="Garamond" w:eastAsia="Garamond" w:hAnsi="Garamond" w:cs="Garamond"/>
        <w:i/>
        <w:color w:val="000000"/>
        <w:sz w:val="22"/>
        <w:szCs w:val="22"/>
      </w:rPr>
      <w:t xml:space="preserve">Education Review/ </w:t>
    </w:r>
    <w:proofErr w:type="spellStart"/>
    <w:r>
      <w:rPr>
        <w:rFonts w:ascii="Garamond" w:eastAsia="Garamond" w:hAnsi="Garamond" w:cs="Garamond"/>
        <w:i/>
        <w:color w:val="000000"/>
        <w:sz w:val="22"/>
        <w:szCs w:val="22"/>
      </w:rPr>
      <w:t>Reseñas</w:t>
    </w:r>
    <w:proofErr w:type="spellEnd"/>
    <w:r>
      <w:rPr>
        <w:rFonts w:ascii="Garamond" w:eastAsia="Garamond" w:hAnsi="Garamond" w:cs="Garamond"/>
        <w:i/>
        <w:color w:val="000000"/>
        <w:sz w:val="22"/>
        <w:szCs w:val="22"/>
      </w:rPr>
      <w:t xml:space="preserve"> </w:t>
    </w:r>
    <w:proofErr w:type="spellStart"/>
    <w:r>
      <w:rPr>
        <w:rFonts w:ascii="Garamond" w:eastAsia="Garamond" w:hAnsi="Garamond" w:cs="Garamond"/>
        <w:i/>
        <w:color w:val="000000"/>
        <w:sz w:val="22"/>
        <w:szCs w:val="22"/>
      </w:rPr>
      <w:t>Educativas</w:t>
    </w:r>
    <w:proofErr w:type="spellEnd"/>
    <w:r>
      <w:rPr>
        <w:rFonts w:ascii="Garamond" w:eastAsia="Garamond" w:hAnsi="Garamond" w:cs="Garamond"/>
        <w:i/>
        <w:color w:val="000000"/>
        <w:sz w:val="22"/>
        <w:szCs w:val="22"/>
      </w:rPr>
      <w:t>/</w:t>
    </w:r>
    <w:proofErr w:type="spellStart"/>
    <w:r>
      <w:rPr>
        <w:rFonts w:ascii="Garamond" w:eastAsia="Garamond" w:hAnsi="Garamond" w:cs="Garamond"/>
        <w:i/>
        <w:color w:val="000000"/>
        <w:sz w:val="22"/>
        <w:szCs w:val="22"/>
      </w:rPr>
      <w:t>Resenhas</w:t>
    </w:r>
    <w:proofErr w:type="spellEnd"/>
    <w:r>
      <w:rPr>
        <w:rFonts w:ascii="Garamond" w:eastAsia="Garamond" w:hAnsi="Garamond" w:cs="Garamond"/>
        <w:i/>
        <w:color w:val="000000"/>
        <w:sz w:val="22"/>
        <w:szCs w:val="22"/>
      </w:rPr>
      <w:t xml:space="preserve"> </w:t>
    </w:r>
    <w:proofErr w:type="spellStart"/>
    <w:r>
      <w:rPr>
        <w:rFonts w:ascii="Garamond" w:eastAsia="Garamond" w:hAnsi="Garamond" w:cs="Garamond"/>
        <w:i/>
        <w:color w:val="000000"/>
        <w:sz w:val="22"/>
        <w:szCs w:val="22"/>
      </w:rPr>
      <w:t>Educativas</w:t>
    </w:r>
    <w:proofErr w:type="spellEnd"/>
  </w:p>
  <w:p w:rsidR="005C2D26" w:rsidRDefault="005C2D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rFonts w:ascii="Garamond" w:eastAsia="Garamond" w:hAnsi="Garamond" w:cs="Garamond"/>
        <w:i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D26" w:rsidRDefault="005C2D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:rsidR="005C2D26" w:rsidRDefault="005978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45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rFonts w:ascii="Garamond" w:eastAsia="Garamond" w:hAnsi="Garamond" w:cs="Garamond"/>
        <w:b/>
        <w:i/>
        <w:color w:val="C94909"/>
      </w:rPr>
      <w:t xml:space="preserve">Education </w:t>
    </w:r>
    <w:proofErr w:type="gramStart"/>
    <w:r>
      <w:rPr>
        <w:rFonts w:ascii="Garamond" w:eastAsia="Garamond" w:hAnsi="Garamond" w:cs="Garamond"/>
        <w:b/>
        <w:i/>
        <w:color w:val="C94909"/>
      </w:rPr>
      <w:t>Review  http</w:t>
    </w:r>
    <w:proofErr w:type="gramEnd"/>
    <w:r>
      <w:rPr>
        <w:rFonts w:ascii="Garamond" w:eastAsia="Garamond" w:hAnsi="Garamond" w:cs="Garamond"/>
        <w:b/>
        <w:i/>
        <w:color w:val="C94909"/>
      </w:rPr>
      <w:t>://www.edrev.info</w:t>
    </w:r>
    <w:r>
      <w:rPr>
        <w:color w:val="000000"/>
      </w:rPr>
      <w:tab/>
    </w:r>
    <w:r>
      <w:rPr>
        <w:color w:val="000000"/>
      </w:rPr>
      <w:tab/>
    </w:r>
    <w:r>
      <w:rPr>
        <w:color w:val="C94909"/>
      </w:rPr>
      <w:fldChar w:fldCharType="begin"/>
    </w:r>
    <w:r>
      <w:rPr>
        <w:color w:val="C94909"/>
      </w:rPr>
      <w:instrText>PAGE</w:instrText>
    </w:r>
    <w:r>
      <w:rPr>
        <w:color w:val="C94909"/>
      </w:rPr>
      <w:fldChar w:fldCharType="end"/>
    </w:r>
  </w:p>
  <w:p w:rsidR="005C2D26" w:rsidRDefault="005978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360"/>
      <w:rPr>
        <w:rFonts w:ascii="Garamond" w:eastAsia="Garamond" w:hAnsi="Garamond" w:cs="Garamond"/>
        <w:i/>
        <w:color w:val="000000"/>
        <w:sz w:val="24"/>
        <w:szCs w:val="24"/>
        <w:u w:val="single"/>
      </w:rPr>
    </w:pPr>
    <w:r>
      <w:rPr>
        <w:noProof/>
        <w:lang w:val="pt-PT"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292100</wp:posOffset>
              </wp:positionH>
              <wp:positionV relativeFrom="paragraph">
                <wp:posOffset>12700</wp:posOffset>
              </wp:positionV>
              <wp:extent cx="5725160" cy="19075"/>
              <wp:effectExtent l="0" t="0" r="0" b="0"/>
              <wp:wrapSquare wrapText="bothSides" distT="0" distB="0" distL="0" distR="0"/>
              <wp:docPr id="21" name="Conexão reta unidirecional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3420" y="3779365"/>
                        <a:ext cx="5725160" cy="1270"/>
                      </a:xfrm>
                      <a:prstGeom prst="straightConnector1">
                        <a:avLst/>
                      </a:prstGeom>
                      <a:noFill/>
                      <a:ln w="19075" cap="sq" cmpd="sng">
                        <a:solidFill>
                          <a:srgbClr val="C94909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292100</wp:posOffset>
              </wp:positionH>
              <wp:positionV relativeFrom="paragraph">
                <wp:posOffset>12700</wp:posOffset>
              </wp:positionV>
              <wp:extent cx="5725160" cy="19075"/>
              <wp:effectExtent b="0" l="0" r="0" t="0"/>
              <wp:wrapSquare wrapText="bothSides" distB="0" distT="0" distL="0" distR="0"/>
              <wp:docPr id="2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25160" cy="19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D26" w:rsidRDefault="005978C4">
    <w:pPr>
      <w:spacing w:after="0"/>
      <w:ind w:left="-180" w:right="-180"/>
      <w:jc w:val="right"/>
      <w:rPr>
        <w:rFonts w:ascii="PT Serif" w:eastAsia="PT Serif" w:hAnsi="PT Serif" w:cs="PT Serif"/>
        <w:b/>
        <w:sz w:val="30"/>
        <w:szCs w:val="30"/>
      </w:rPr>
    </w:pPr>
    <w:r>
      <w:rPr>
        <w:noProof/>
        <w:lang w:val="pt-PT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-213317</wp:posOffset>
          </wp:positionH>
          <wp:positionV relativeFrom="paragraph">
            <wp:posOffset>338455</wp:posOffset>
          </wp:positionV>
          <wp:extent cx="4972208" cy="1076283"/>
          <wp:effectExtent l="0" t="0" r="0" b="0"/>
          <wp:wrapSquare wrapText="bothSides" distT="0" distB="0" distL="114300" distR="11430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2208" cy="10762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PT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4752975</wp:posOffset>
          </wp:positionH>
          <wp:positionV relativeFrom="paragraph">
            <wp:posOffset>221615</wp:posOffset>
          </wp:positionV>
          <wp:extent cx="1200150" cy="1195705"/>
          <wp:effectExtent l="0" t="0" r="0" b="0"/>
          <wp:wrapSquare wrapText="bothSides" distT="0" distB="0" distL="114300" distR="114300"/>
          <wp:docPr id="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1195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C2D26" w:rsidRDefault="005C2D26">
    <w:pPr>
      <w:spacing w:after="0"/>
      <w:ind w:left="-180" w:right="-180"/>
      <w:rPr>
        <w:rFonts w:ascii="PT Serif" w:eastAsia="PT Serif" w:hAnsi="PT Serif" w:cs="PT Serif"/>
        <w:i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D26" w:rsidRDefault="005978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611048">
      <w:rPr>
        <w:noProof/>
        <w:color w:val="000000"/>
        <w:sz w:val="22"/>
        <w:szCs w:val="22"/>
      </w:rPr>
      <w:t>5</w:t>
    </w:r>
    <w:r>
      <w:rPr>
        <w:color w:val="000000"/>
        <w:sz w:val="22"/>
        <w:szCs w:val="22"/>
      </w:rPr>
      <w:fldChar w:fldCharType="end"/>
    </w:r>
  </w:p>
  <w:p w:rsidR="005C2D26" w:rsidRPr="00F13395" w:rsidRDefault="005978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rFonts w:ascii="Garamond" w:eastAsia="Garamond" w:hAnsi="Garamond" w:cs="Garamond"/>
        <w:i/>
        <w:color w:val="000000"/>
        <w:sz w:val="22"/>
        <w:szCs w:val="22"/>
        <w:lang w:val="pt-PT"/>
      </w:rPr>
    </w:pPr>
    <w:r w:rsidRPr="00F13395">
      <w:rPr>
        <w:rFonts w:ascii="Garamond" w:eastAsia="Garamond" w:hAnsi="Garamond" w:cs="Garamond"/>
        <w:color w:val="000000"/>
        <w:sz w:val="22"/>
        <w:szCs w:val="22"/>
        <w:lang w:val="pt-PT"/>
      </w:rPr>
      <w:t xml:space="preserve">Resenha do </w:t>
    </w:r>
    <w:r w:rsidR="004A70CA" w:rsidRPr="0012461C">
      <w:rPr>
        <w:rFonts w:ascii="Garamond" w:eastAsia="Garamond" w:hAnsi="Garamond" w:cs="Garamond"/>
        <w:i/>
        <w:color w:val="000000"/>
        <w:sz w:val="22"/>
        <w:szCs w:val="22"/>
        <w:lang w:val="pt-PT"/>
      </w:rPr>
      <w:t>Enciclopédia Brasileira de Educação Superior por</w:t>
    </w:r>
    <w:r w:rsidRPr="00F13395">
      <w:rPr>
        <w:rFonts w:ascii="Garamond" w:eastAsia="Garamond" w:hAnsi="Garamond" w:cs="Garamond"/>
        <w:color w:val="000000"/>
        <w:sz w:val="22"/>
        <w:szCs w:val="22"/>
        <w:lang w:val="pt-PT"/>
      </w:rPr>
      <w:t xml:space="preserve"> </w:t>
    </w:r>
    <w:r w:rsidR="004A70CA">
      <w:rPr>
        <w:rFonts w:ascii="Garamond" w:eastAsia="Garamond" w:hAnsi="Garamond" w:cs="Garamond"/>
        <w:i/>
        <w:color w:val="000000"/>
        <w:sz w:val="22"/>
        <w:szCs w:val="22"/>
        <w:lang w:val="pt-PT"/>
      </w:rPr>
      <w:t>Isabel Pinho</w:t>
    </w:r>
    <w:r w:rsidRPr="00F13395">
      <w:rPr>
        <w:rFonts w:ascii="Garamond" w:eastAsia="Garamond" w:hAnsi="Garamond" w:cs="Garamond"/>
        <w:i/>
        <w:color w:val="000000"/>
        <w:sz w:val="22"/>
        <w:szCs w:val="22"/>
        <w:lang w:val="pt-PT"/>
      </w:rPr>
      <w:tab/>
    </w:r>
    <w:r w:rsidRPr="00F13395">
      <w:rPr>
        <w:rFonts w:ascii="Garamond" w:eastAsia="Garamond" w:hAnsi="Garamond" w:cs="Garamond"/>
        <w:i/>
        <w:color w:val="000000"/>
        <w:sz w:val="22"/>
        <w:szCs w:val="22"/>
        <w:lang w:val="pt-PT"/>
      </w:rPr>
      <w:tab/>
    </w:r>
  </w:p>
  <w:p w:rsidR="005C2D26" w:rsidRPr="00F13395" w:rsidRDefault="005C2D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0"/>
      </w:tabs>
      <w:spacing w:after="0" w:line="240" w:lineRule="auto"/>
      <w:rPr>
        <w:color w:val="000000"/>
        <w:sz w:val="22"/>
        <w:szCs w:val="22"/>
        <w:lang w:val="pt-PT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D26" w:rsidRDefault="005C2D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45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D36B08"/>
    <w:multiLevelType w:val="multilevel"/>
    <w:tmpl w:val="E088471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S0MDazMDC0MDQyMzNQ0lEKTi0uzszPAykwqQUAQHHaeSwAAAA="/>
    <w:docVar w:name="EN.Layout" w:val="&lt;ENLayout&gt;&lt;Style&gt;ABNT (Author-Date) -Humanidade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a0wppatztdav3e59zup5s575zxdsed50erz&quot;&gt;fev2009-Saved&lt;record-ids&gt;&lt;item&gt;22786&lt;/item&gt;&lt;item&gt;26405&lt;/item&gt;&lt;item&gt;26406&lt;/item&gt;&lt;item&gt;26412&lt;/item&gt;&lt;item&gt;26413&lt;/item&gt;&lt;item&gt;26414&lt;/item&gt;&lt;item&gt;26415&lt;/item&gt;&lt;item&gt;26416&lt;/item&gt;&lt;item&gt;26417&lt;/item&gt;&lt;item&gt;26418&lt;/item&gt;&lt;item&gt;26419&lt;/item&gt;&lt;/record-ids&gt;&lt;/item&gt;&lt;/Libraries&gt;"/>
  </w:docVars>
  <w:rsids>
    <w:rsidRoot w:val="005C2D26"/>
    <w:rsid w:val="00065C50"/>
    <w:rsid w:val="0012461C"/>
    <w:rsid w:val="001C2C71"/>
    <w:rsid w:val="00380297"/>
    <w:rsid w:val="003F0353"/>
    <w:rsid w:val="004A70CA"/>
    <w:rsid w:val="00551472"/>
    <w:rsid w:val="005978C4"/>
    <w:rsid w:val="005C2D26"/>
    <w:rsid w:val="00611048"/>
    <w:rsid w:val="00664989"/>
    <w:rsid w:val="006970DA"/>
    <w:rsid w:val="00844E8D"/>
    <w:rsid w:val="009B4A68"/>
    <w:rsid w:val="009C7B7E"/>
    <w:rsid w:val="00B527CC"/>
    <w:rsid w:val="00BB40E3"/>
    <w:rsid w:val="00C67868"/>
    <w:rsid w:val="00CF3D99"/>
    <w:rsid w:val="00D743E0"/>
    <w:rsid w:val="00F13395"/>
    <w:rsid w:val="00FB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F18784-A7BB-4588-AFA5-B025B8B9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732"/>
    <w:pPr>
      <w:suppressAutoHyphens/>
    </w:pPr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ligao">
    <w:name w:val="Hyperlink"/>
    <w:basedOn w:val="Tipodeletrapredefinidodopargrafo"/>
    <w:uiPriority w:val="99"/>
    <w:rsid w:val="009B0732"/>
  </w:style>
  <w:style w:type="paragraph" w:styleId="Cabealho">
    <w:name w:val="header"/>
    <w:basedOn w:val="Normal"/>
    <w:link w:val="CabealhoCarter"/>
    <w:rsid w:val="009B0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9B0732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arter"/>
    <w:rsid w:val="009B0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9B0732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semiHidden/>
    <w:unhideWhenUsed/>
    <w:rsid w:val="009B0732"/>
  </w:style>
  <w:style w:type="paragraph" w:styleId="PargrafodaLista">
    <w:name w:val="List Paragraph"/>
    <w:basedOn w:val="Normal"/>
    <w:uiPriority w:val="34"/>
    <w:qFormat/>
    <w:rsid w:val="009B0732"/>
    <w:pPr>
      <w:ind w:left="720"/>
      <w:contextualSpacing/>
    </w:p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BA576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A5764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EndNoteBibliographyTitle">
    <w:name w:val="EndNote Bibliography Title"/>
    <w:basedOn w:val="Normal"/>
    <w:link w:val="EndNoteBibliographyTitleCarter"/>
    <w:rsid w:val="003F0353"/>
    <w:pPr>
      <w:spacing w:after="0"/>
      <w:jc w:val="center"/>
    </w:pPr>
    <w:rPr>
      <w:noProof/>
      <w:lang w:val="pt-PT"/>
    </w:rPr>
  </w:style>
  <w:style w:type="character" w:customStyle="1" w:styleId="EndNoteBibliographyTitleCarter">
    <w:name w:val="EndNote Bibliography Title Caráter"/>
    <w:basedOn w:val="Tipodeletrapredefinidodopargrafo"/>
    <w:link w:val="EndNoteBibliographyTitle"/>
    <w:rsid w:val="003F0353"/>
    <w:rPr>
      <w:noProof/>
      <w:lang w:val="pt-PT"/>
    </w:rPr>
  </w:style>
  <w:style w:type="paragraph" w:customStyle="1" w:styleId="EndNoteBibliography">
    <w:name w:val="EndNote Bibliography"/>
    <w:basedOn w:val="Normal"/>
    <w:link w:val="EndNoteBibliographyCarter"/>
    <w:rsid w:val="003F0353"/>
    <w:pPr>
      <w:spacing w:line="240" w:lineRule="auto"/>
    </w:pPr>
    <w:rPr>
      <w:noProof/>
      <w:lang w:val="pt-PT"/>
    </w:rPr>
  </w:style>
  <w:style w:type="character" w:customStyle="1" w:styleId="EndNoteBibliographyCarter">
    <w:name w:val="EndNote Bibliography Caráter"/>
    <w:basedOn w:val="Tipodeletrapredefinidodopargrafo"/>
    <w:link w:val="EndNoteBibliography"/>
    <w:rsid w:val="003F0353"/>
    <w:rPr>
      <w:noProof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30.jpeg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3.jpeg"/><Relationship Id="rId25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na01.safelinks.protection.outlook.com/?url=https%3A%2F%2Feditora.pucrs.br%2Flivro%2F1563%2F&amp;data=04%7C01%7C%7C8a5a5261ebcc464c60a808d93816fa8d%7C84df9e7fe9f640afb435aaaaaaaaaaaa%7C1%7C0%7C637602493610076762%7CUnknown%7CTWFpbGZsb3d8eyJWIjoiMC4wLjAwMDAiLCJQIjoiV2luMzIiLCJBTiI6Ik1haWwiLCJXVCI6Mn0%3D%7C1000&amp;sdata=G2pzBoCgssYFzL1MIwE7IwYhJF0OTn1rCM0QwpUHMs8%3D&amp;reserved=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yperlink" Target="https://editora.pucrs.br/livro/1563/" TargetMode="External"/><Relationship Id="rId28" Type="http://schemas.openxmlformats.org/officeDocument/2006/relationships/image" Target="media/image8.png"/><Relationship Id="rId10" Type="http://schemas.openxmlformats.org/officeDocument/2006/relationships/header" Target="header3.xml"/><Relationship Id="rId19" Type="http://schemas.openxmlformats.org/officeDocument/2006/relationships/hyperlink" Target="https://editora.pucrs.br/livro/1421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yperlink" Target="https://editora.pucrs.br/livro/1421/" TargetMode="External"/><Relationship Id="rId27" Type="http://schemas.openxmlformats.org/officeDocument/2006/relationships/hyperlink" Target="http://creativecommons.org/licenses/by-nc-sa/3.0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g3IziVaOjtsKMLa1Q7VYs+0G/Q==">AMUW2mXSG1EDG4ghUR0ILLFKYNqvIF07syZt6ss1kScpi4mk+ymgieAO95nlKeaIt1ttJwCXr/RtrfSamnsdUbn/OY7A/Fk9X3ndnklLOk5Cia7DZNcP/YxYbProS85QCat9lnJJ3AsD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3964</Words>
  <Characters>21406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Pinho</Company>
  <LinksUpToDate>false</LinksUpToDate>
  <CharactersWithSpaces>25320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edXchange</dc:creator>
  <cp:lastModifiedBy>Isabel Pinho</cp:lastModifiedBy>
  <cp:revision>12</cp:revision>
  <dcterms:created xsi:type="dcterms:W3CDTF">2019-03-07T20:58:00Z</dcterms:created>
  <dcterms:modified xsi:type="dcterms:W3CDTF">2021-11-21T17:20:00Z</dcterms:modified>
</cp:coreProperties>
</file>