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D36D8" w14:textId="1396D326" w:rsidR="00C867A5" w:rsidRPr="005B482D" w:rsidRDefault="00C07F82" w:rsidP="00C07F82">
      <w:pPr>
        <w:tabs>
          <w:tab w:val="right" w:pos="9360"/>
        </w:tabs>
        <w:spacing w:after="0"/>
        <w:ind w:right="-180"/>
        <w:rPr>
          <w:rFonts w:ascii="Garamond" w:hAnsi="Garamond"/>
          <w:i/>
          <w:color w:val="C94909"/>
          <w:sz w:val="24"/>
          <w:szCs w:val="24"/>
        </w:rPr>
      </w:pPr>
      <w:r w:rsidRPr="005B482D">
        <w:rPr>
          <w:rFonts w:ascii="Garamond" w:hAnsi="Garamond"/>
          <w:sz w:val="24"/>
          <w:szCs w:val="24"/>
          <w:highlight w:val="cyan"/>
        </w:rPr>
        <w:t>EdRev will insert date</w:t>
      </w:r>
      <w:r w:rsidRPr="005B482D">
        <w:rPr>
          <w:rFonts w:ascii="Garamond" w:hAnsi="Garamond"/>
          <w:sz w:val="24"/>
          <w:szCs w:val="24"/>
        </w:rPr>
        <w:tab/>
      </w:r>
      <w:r w:rsidR="00C867A5" w:rsidRPr="005B482D">
        <w:rPr>
          <w:rFonts w:ascii="Garamond" w:hAnsi="Garamond"/>
          <w:sz w:val="24"/>
          <w:szCs w:val="24"/>
        </w:rPr>
        <w:t>ISSN 1094-5296</w:t>
      </w:r>
    </w:p>
    <w:p w14:paraId="756DA2C1" w14:textId="77777777" w:rsidR="00C867A5" w:rsidRPr="005B482D" w:rsidRDefault="00C867A5" w:rsidP="00C867A5">
      <w:pPr>
        <w:spacing w:after="0"/>
        <w:ind w:right="-180"/>
        <w:rPr>
          <w:rFonts w:ascii="Garamond" w:hAnsi="Garamond"/>
          <w:sz w:val="24"/>
          <w:szCs w:val="24"/>
        </w:rPr>
      </w:pPr>
    </w:p>
    <w:tbl>
      <w:tblPr>
        <w:tblW w:w="9360" w:type="dxa"/>
        <w:tblInd w:w="108" w:type="dxa"/>
        <w:shd w:val="clear" w:color="auto" w:fill="FFE645"/>
        <w:tblLayout w:type="fixed"/>
        <w:tblLook w:val="0000" w:firstRow="0" w:lastRow="0" w:firstColumn="0" w:lastColumn="0" w:noHBand="0" w:noVBand="0"/>
      </w:tblPr>
      <w:tblGrid>
        <w:gridCol w:w="9360"/>
      </w:tblGrid>
      <w:tr w:rsidR="00C867A5" w:rsidRPr="005B482D" w14:paraId="72384A4D" w14:textId="77777777" w:rsidTr="00483173">
        <w:tc>
          <w:tcPr>
            <w:tcW w:w="9360" w:type="dxa"/>
            <w:shd w:val="clear" w:color="auto" w:fill="FFE645"/>
          </w:tcPr>
          <w:p w14:paraId="0A09BF5A" w14:textId="7DDA5F4C" w:rsidR="00C867A5" w:rsidRPr="005B482D" w:rsidRDefault="00C867A5" w:rsidP="00C867A5">
            <w:pPr>
              <w:spacing w:after="0" w:line="240" w:lineRule="auto"/>
              <w:rPr>
                <w:rFonts w:ascii="Garamond" w:hAnsi="Garamond"/>
                <w:bCs/>
                <w:spacing w:val="6"/>
                <w:sz w:val="24"/>
                <w:szCs w:val="24"/>
              </w:rPr>
            </w:pPr>
          </w:p>
          <w:p w14:paraId="6ACB5761" w14:textId="5E53B2BE" w:rsidR="00C867A5" w:rsidRPr="005B482D" w:rsidRDefault="006765D2" w:rsidP="00C867A5">
            <w:pPr>
              <w:spacing w:after="0" w:line="240" w:lineRule="auto"/>
              <w:rPr>
                <w:rFonts w:ascii="Garamond" w:hAnsi="Garamond"/>
                <w:sz w:val="24"/>
                <w:szCs w:val="24"/>
              </w:rPr>
            </w:pPr>
            <w:r>
              <w:rPr>
                <w:color w:val="000000" w:themeColor="text1"/>
                <w:lang w:val="en-CA"/>
              </w:rPr>
              <w:t xml:space="preserve">Hlavacik, M. (2016). </w:t>
            </w:r>
            <w:r>
              <w:rPr>
                <w:i/>
                <w:color w:val="000000" w:themeColor="text1"/>
                <w:lang w:val="en-CA"/>
              </w:rPr>
              <w:t xml:space="preserve">Assigning Blame: The Rhetoric of Educational Reform. </w:t>
            </w:r>
            <w:r w:rsidRPr="00756C0E">
              <w:rPr>
                <w:color w:val="000000" w:themeColor="text1"/>
                <w:lang w:val="en-CA"/>
              </w:rPr>
              <w:t>Cambridge</w:t>
            </w:r>
            <w:r>
              <w:rPr>
                <w:color w:val="000000" w:themeColor="text1"/>
                <w:lang w:val="en-CA"/>
              </w:rPr>
              <w:t xml:space="preserve">, Massachusetts, Harvard </w:t>
            </w:r>
            <w:r w:rsidRPr="005B482D">
              <w:rPr>
                <w:rFonts w:ascii="Garamond" w:hAnsi="Garamond"/>
                <w:sz w:val="24"/>
                <w:szCs w:val="24"/>
              </w:rPr>
              <w:t xml:space="preserve"> </w:t>
            </w:r>
          </w:p>
          <w:p w14:paraId="55883D3E" w14:textId="77777777" w:rsidR="006765D2" w:rsidRDefault="006765D2" w:rsidP="00C867A5">
            <w:pPr>
              <w:spacing w:after="0" w:line="240" w:lineRule="auto"/>
              <w:rPr>
                <w:rFonts w:ascii="Garamond" w:hAnsi="Garamond"/>
                <w:sz w:val="24"/>
                <w:szCs w:val="24"/>
              </w:rPr>
            </w:pPr>
            <w:r>
              <w:rPr>
                <w:rFonts w:ascii="Garamond" w:hAnsi="Garamond"/>
                <w:sz w:val="24"/>
                <w:szCs w:val="24"/>
              </w:rPr>
              <w:t xml:space="preserve">         Massachusetts. Harvard Education Publishing Group. </w:t>
            </w:r>
          </w:p>
          <w:p w14:paraId="66A25D18" w14:textId="77777777" w:rsidR="006765D2" w:rsidRDefault="006765D2" w:rsidP="00C867A5">
            <w:pPr>
              <w:spacing w:after="0" w:line="240" w:lineRule="auto"/>
              <w:rPr>
                <w:rFonts w:ascii="Garamond" w:hAnsi="Garamond"/>
                <w:sz w:val="24"/>
                <w:szCs w:val="24"/>
              </w:rPr>
            </w:pPr>
          </w:p>
          <w:p w14:paraId="69E430FD" w14:textId="780A3112" w:rsidR="00C867A5" w:rsidRPr="005B482D" w:rsidRDefault="00C867A5" w:rsidP="00C867A5">
            <w:pPr>
              <w:spacing w:after="0" w:line="240" w:lineRule="auto"/>
              <w:rPr>
                <w:rFonts w:ascii="Garamond" w:hAnsi="Garamond"/>
                <w:sz w:val="24"/>
                <w:szCs w:val="24"/>
              </w:rPr>
            </w:pPr>
            <w:r w:rsidRPr="005B482D">
              <w:rPr>
                <w:rFonts w:ascii="Garamond" w:hAnsi="Garamond"/>
                <w:sz w:val="24"/>
                <w:szCs w:val="24"/>
              </w:rPr>
              <w:t xml:space="preserve">Pp. </w:t>
            </w:r>
            <w:r w:rsidR="00183787">
              <w:rPr>
                <w:rFonts w:ascii="Garamond" w:hAnsi="Garamond"/>
                <w:sz w:val="24"/>
                <w:szCs w:val="24"/>
              </w:rPr>
              <w:t>216</w:t>
            </w:r>
            <w:r w:rsidR="00B30CE1">
              <w:rPr>
                <w:rFonts w:ascii="Garamond" w:hAnsi="Garamond"/>
                <w:sz w:val="24"/>
                <w:szCs w:val="24"/>
              </w:rPr>
              <w:t xml:space="preserve">                                                                                                 </w:t>
            </w:r>
            <w:r w:rsidRPr="005B482D">
              <w:rPr>
                <w:rFonts w:ascii="Garamond" w:hAnsi="Garamond"/>
                <w:sz w:val="24"/>
                <w:szCs w:val="24"/>
              </w:rPr>
              <w:t>ISBN:</w:t>
            </w:r>
            <w:r w:rsidR="006765D2">
              <w:rPr>
                <w:rFonts w:ascii="Garamond" w:hAnsi="Garamond"/>
                <w:sz w:val="24"/>
                <w:szCs w:val="24"/>
              </w:rPr>
              <w:t xml:space="preserve"> </w:t>
            </w:r>
            <w:r w:rsidR="00B30CE1">
              <w:rPr>
                <w:color w:val="000000" w:themeColor="text1"/>
                <w:lang w:val="en-CA"/>
              </w:rPr>
              <w:t xml:space="preserve">13: 978-1-61250-972-3   </w:t>
            </w:r>
            <w:r w:rsidRPr="005B482D">
              <w:rPr>
                <w:rFonts w:ascii="Garamond" w:hAnsi="Garamond"/>
                <w:sz w:val="24"/>
                <w:szCs w:val="24"/>
              </w:rPr>
              <w:t xml:space="preserve">               </w:t>
            </w:r>
          </w:p>
        </w:tc>
      </w:tr>
      <w:tr w:rsidR="006765D2" w:rsidRPr="005B482D" w14:paraId="10B0465E" w14:textId="77777777" w:rsidTr="00483173">
        <w:tc>
          <w:tcPr>
            <w:tcW w:w="9360" w:type="dxa"/>
            <w:shd w:val="clear" w:color="auto" w:fill="FFE645"/>
          </w:tcPr>
          <w:p w14:paraId="4401B602" w14:textId="77777777" w:rsidR="006765D2" w:rsidRPr="005B482D" w:rsidRDefault="006765D2" w:rsidP="00C867A5">
            <w:pPr>
              <w:spacing w:after="0" w:line="240" w:lineRule="auto"/>
              <w:rPr>
                <w:rFonts w:ascii="Garamond" w:hAnsi="Garamond"/>
                <w:bCs/>
                <w:spacing w:val="6"/>
                <w:sz w:val="24"/>
                <w:szCs w:val="24"/>
              </w:rPr>
            </w:pPr>
          </w:p>
        </w:tc>
      </w:tr>
    </w:tbl>
    <w:p w14:paraId="7487577E" w14:textId="77777777" w:rsidR="00C867A5" w:rsidRPr="005B482D" w:rsidRDefault="00C867A5" w:rsidP="00C867A5">
      <w:pPr>
        <w:rPr>
          <w:rFonts w:ascii="Garamond" w:hAnsi="Garamond"/>
          <w:sz w:val="24"/>
          <w:szCs w:val="24"/>
        </w:rPr>
        <w:sectPr w:rsidR="00C867A5" w:rsidRPr="005B482D" w:rsidSect="00C867A5">
          <w:headerReference w:type="even" r:id="rId7"/>
          <w:headerReference w:type="default" r:id="rId8"/>
          <w:headerReference w:type="first" r:id="rId9"/>
          <w:footerReference w:type="first" r:id="rId10"/>
          <w:pgSz w:w="12240" w:h="15840"/>
          <w:pgMar w:top="1440" w:right="1440" w:bottom="1440" w:left="1440" w:header="720" w:footer="720" w:gutter="0"/>
          <w:cols w:space="720"/>
          <w:titlePg/>
          <w:docGrid w:linePitch="600" w:charSpace="36864"/>
        </w:sectPr>
      </w:pPr>
    </w:p>
    <w:p w14:paraId="07346FCB" w14:textId="77777777" w:rsidR="00C867A5" w:rsidRPr="005B482D" w:rsidRDefault="00C867A5" w:rsidP="00C867A5">
      <w:pPr>
        <w:spacing w:after="0" w:line="400" w:lineRule="exact"/>
        <w:ind w:right="-90"/>
        <w:rPr>
          <w:rFonts w:ascii="Garamond" w:hAnsi="Garamond"/>
          <w:bCs/>
          <w:sz w:val="24"/>
          <w:szCs w:val="24"/>
        </w:rPr>
      </w:pPr>
    </w:p>
    <w:p w14:paraId="6C189F3A" w14:textId="77777777" w:rsidR="00EB7A2F" w:rsidRDefault="00EB7A2F" w:rsidP="00C867A5">
      <w:pPr>
        <w:spacing w:line="240" w:lineRule="auto"/>
        <w:contextualSpacing/>
        <w:rPr>
          <w:rFonts w:ascii="Garamond" w:hAnsi="Garamond"/>
          <w:b/>
          <w:sz w:val="24"/>
          <w:szCs w:val="24"/>
        </w:rPr>
        <w:sectPr w:rsidR="00EB7A2F" w:rsidSect="00EB7A2F">
          <w:headerReference w:type="default" r:id="rId11"/>
          <w:footerReference w:type="even" r:id="rId12"/>
          <w:footerReference w:type="default" r:id="rId13"/>
          <w:headerReference w:type="first" r:id="rId14"/>
          <w:footerReference w:type="first" r:id="rId15"/>
          <w:type w:val="continuous"/>
          <w:pgSz w:w="12240" w:h="15840"/>
          <w:pgMar w:top="1440" w:right="1350" w:bottom="1440" w:left="1440" w:header="720" w:footer="720" w:gutter="0"/>
          <w:cols w:space="720"/>
          <w:titlePg/>
          <w:docGrid w:linePitch="600" w:charSpace="36864"/>
        </w:sectPr>
      </w:pPr>
    </w:p>
    <w:p w14:paraId="01B16B55" w14:textId="5F064CF2" w:rsidR="00C867A5" w:rsidRPr="00EB7A2F" w:rsidRDefault="00C867A5" w:rsidP="00C867A5">
      <w:pPr>
        <w:spacing w:line="240" w:lineRule="auto"/>
        <w:contextualSpacing/>
        <w:rPr>
          <w:rFonts w:ascii="Garamond" w:hAnsi="Garamond"/>
          <w:b/>
          <w:sz w:val="24"/>
          <w:szCs w:val="24"/>
        </w:rPr>
      </w:pPr>
      <w:r w:rsidRPr="00EB7A2F">
        <w:rPr>
          <w:rFonts w:ascii="Garamond" w:hAnsi="Garamond"/>
          <w:b/>
          <w:sz w:val="24"/>
          <w:szCs w:val="24"/>
        </w:rPr>
        <w:lastRenderedPageBreak/>
        <w:t xml:space="preserve">Reviewed by </w:t>
      </w:r>
      <w:r w:rsidR="007A529F">
        <w:rPr>
          <w:rFonts w:ascii="Garamond" w:hAnsi="Garamond"/>
          <w:b/>
          <w:sz w:val="24"/>
          <w:szCs w:val="24"/>
        </w:rPr>
        <w:t>Julie Chami Lindsay</w:t>
      </w:r>
    </w:p>
    <w:p w14:paraId="32AAEB2E" w14:textId="620D014D" w:rsidR="00D80FD9" w:rsidRPr="00D80FD9" w:rsidRDefault="00627297" w:rsidP="00D80FD9">
      <w:pPr>
        <w:tabs>
          <w:tab w:val="left" w:pos="5417"/>
        </w:tabs>
        <w:spacing w:after="0" w:line="240" w:lineRule="auto"/>
        <w:contextualSpacing/>
        <w:rPr>
          <w:rFonts w:ascii="Garamond" w:hAnsi="Garamond"/>
          <w:b/>
          <w:sz w:val="24"/>
          <w:szCs w:val="24"/>
        </w:rPr>
      </w:pPr>
      <w:r>
        <w:rPr>
          <w:rFonts w:ascii="Garamond" w:hAnsi="Garamond"/>
          <w:b/>
          <w:sz w:val="24"/>
          <w:szCs w:val="24"/>
        </w:rPr>
        <w:t>M.Ed., Ph.D. S</w:t>
      </w:r>
      <w:r w:rsidR="007A529F">
        <w:rPr>
          <w:rFonts w:ascii="Garamond" w:hAnsi="Garamond"/>
          <w:b/>
          <w:sz w:val="24"/>
          <w:szCs w:val="24"/>
        </w:rPr>
        <w:t>tudent, University of Toronto</w:t>
      </w:r>
      <w:r w:rsidR="00D80FD9">
        <w:rPr>
          <w:rFonts w:ascii="Garamond" w:hAnsi="Garamond"/>
          <w:b/>
          <w:sz w:val="24"/>
          <w:szCs w:val="24"/>
        </w:rPr>
        <w:tab/>
      </w:r>
    </w:p>
    <w:p w14:paraId="6C34251C" w14:textId="65D5B606" w:rsidR="00183787" w:rsidRPr="00627297" w:rsidRDefault="0037358C" w:rsidP="00483173">
      <w:pPr>
        <w:spacing w:after="0" w:line="240" w:lineRule="auto"/>
        <w:contextualSpacing/>
        <w:rPr>
          <w:rFonts w:ascii="Garamond" w:hAnsi="Garamond"/>
          <w:b/>
          <w:bCs/>
          <w:sz w:val="24"/>
          <w:szCs w:val="24"/>
        </w:rPr>
        <w:sectPr w:rsidR="00183787" w:rsidRPr="00627297" w:rsidSect="0037358C">
          <w:type w:val="continuous"/>
          <w:pgSz w:w="12240" w:h="15840"/>
          <w:pgMar w:top="1440" w:right="1350" w:bottom="1440" w:left="1440" w:header="720" w:footer="720" w:gutter="0"/>
          <w:cols w:space="720"/>
          <w:titlePg/>
          <w:docGrid w:linePitch="600" w:charSpace="36864"/>
        </w:sectPr>
      </w:pPr>
      <w:r w:rsidRPr="00627297">
        <w:rPr>
          <w:rFonts w:ascii="Garamond" w:hAnsi="Garamond"/>
          <w:b/>
          <w:noProof/>
          <w:color w:val="000000"/>
          <w:sz w:val="24"/>
          <w:szCs w:val="24"/>
        </w:rPr>
        <mc:AlternateContent>
          <mc:Choice Requires="wps">
            <w:drawing>
              <wp:anchor distT="0" distB="0" distL="114300" distR="114300" simplePos="0" relativeHeight="251660288" behindDoc="1" locked="0" layoutInCell="1" allowOverlap="1" wp14:anchorId="10392A04" wp14:editId="2A40B4E8">
                <wp:simplePos x="0" y="0"/>
                <wp:positionH relativeFrom="column">
                  <wp:posOffset>3028950</wp:posOffset>
                </wp:positionH>
                <wp:positionV relativeFrom="paragraph">
                  <wp:posOffset>245745</wp:posOffset>
                </wp:positionV>
                <wp:extent cx="2914650" cy="4257675"/>
                <wp:effectExtent l="0" t="0" r="19050" b="28575"/>
                <wp:wrapTight wrapText="bothSides">
                  <wp:wrapPolygon edited="0">
                    <wp:start x="0" y="0"/>
                    <wp:lineTo x="0" y="21648"/>
                    <wp:lineTo x="21600" y="21648"/>
                    <wp:lineTo x="21600"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2914650" cy="4257675"/>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C2519B" w14:textId="1105C36C" w:rsidR="00C07F82" w:rsidRPr="00D83ED8" w:rsidRDefault="00183787">
                            <w:pPr>
                              <w:rPr>
                                <w:rFonts w:ascii="Garamond" w:hAnsi="Garamond"/>
                                <w:sz w:val="24"/>
                                <w:szCs w:val="24"/>
                              </w:rPr>
                            </w:pPr>
                            <w:r>
                              <w:rPr>
                                <w:rFonts w:ascii="Helvetica" w:eastAsiaTheme="minorEastAsia" w:hAnsi="Helvetica" w:cs="Helvetica"/>
                                <w:noProof/>
                                <w:sz w:val="24"/>
                                <w:szCs w:val="24"/>
                              </w:rPr>
                              <w:drawing>
                                <wp:inline distT="0" distB="0" distL="0" distR="0" wp14:anchorId="32F0B6AF" wp14:editId="5688E07D">
                                  <wp:extent cx="2818130" cy="4202301"/>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7707" cy="42165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92A04" id="_x0000_t202" coordsize="21600,21600" o:spt="202" path="m0,0l0,21600,21600,21600,21600,0xe">
                <v:stroke joinstyle="miter"/>
                <v:path gradientshapeok="t" o:connecttype="rect"/>
              </v:shapetype>
              <v:shape id="Text Box 5" o:spid="_x0000_s1026" type="#_x0000_t202" style="position:absolute;margin-left:238.5pt;margin-top:19.35pt;width:229.5pt;height:3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wQZN8CAAA3BgAADgAAAGRycy9lMm9Eb2MueG1srFRLb9swDL4P2H8QdE9tB07SGnUKN0WGAUVX&#10;rB16VmQpMabXJCVxNuy/j5LtNOt6WIddbIovkR8/8fKqlQLtmHWNViXOzlKMmKK6btS6xF8el6Nz&#10;jJwnqiZCK1biA3P4av7+3eXeFGysN1rUzCJIolyxNyXeeG+KJHF0wyRxZ9owBUaurSQejnad1Jbs&#10;IbsUyThNp8le29pYTZlzoL3pjHge83POqP/EuWMeiRJDbT5+bfyuwjeZX5JibYnZNLQvg/xDFZI0&#10;Ci49prohnqCtbf5IJRtqtdPcn1EtE815Q1nsAbrJ0hfdPGyIYbEXAMeZI0zu/6Wld7t7i5q6xBOM&#10;FJEwokfWenStWzQJ6OyNK8DpwYCbb0ENUx70DpSh6ZZbGf7QDgI74Hw4YhuSUVCOL7J8OgETBVs+&#10;nsyms5g/eQ431vkPTEsUhBJbGF7ElOxunYdSwHVwCbcpvWyEiAMUKiicFk0ddPEQGMQWwqIdgdn7&#10;NlYNKU684NRFssiU7hZSQMkghiSh+DjFH4vJbFzNJhejaTXJRnmWno+qKh2PbpZVWqX5cnGRX/+E&#10;aiXJ8mIPfDLAxoAkILYUZN3PLpj/bniS0N+onmVJJFmHAySOeAylJmFM3Tii5A+ChQaE+sw4jDdO&#10;5RVYCKVM+QGa6B28OID4lsDeP0IWoXxLcAc+RMSbtfLHYNkobSMF4j54nmb9dSiZd/4AxknfQfTt&#10;qu3pu9L1Adhrdff6naHLBhh2S5y/JxaeO7ASVpj/BB8u9L7Eupcw2mj7/TV98IdBghWjMO4Su29b&#10;YhlG4qOC9wlsz8O+iYccyAMHe2pZnVrUVi40sDSDZWloFIO/F4PIrZZPsOmqcCuYiKJwN9B6EBe+&#10;W2qwKSmrqugEG8YQf6seDA2pA7zh/Ty2T8Sa/pF5YNCdHhYNKV68tc43RCpdbb3mTXyIAeAO1R54&#10;2E6Rj/0mDevv9By9nvf9/BcAAAD//wMAUEsDBBQABgAIAAAAIQAoyp7j4gAAAAoBAAAPAAAAZHJz&#10;L2Rvd25yZXYueG1sTI9BT8JAEIXvJv6HzZh4k61gulA7JQohMQQPgCEel+7aNnZnm+4C5d87nvT4&#10;5r28+V4+H1wrzrYPjSeEx1ECwlLpTUMVwsd+9TAFEaImo1tPFuFqA8yL25tcZ8ZfaGvPu1gJLqGQ&#10;aYQ6xi6TMpS1dTqMfGeJvS/fOx1Z9pU0vb5wuWvlOElS6XRD/KHWnV3UtvzenRzC2/663qrFe+rW&#10;r8vPzUGGw2q5Qby/G16eQUQ7xL8w/OIzOhTMdPQnMkG0CE9K8ZaIMJkqEByYTVI+HBFUMhuDLHL5&#10;f0LxAwAA//8DAFBLAQItABQABgAIAAAAIQDkmcPA+wAAAOEBAAATAAAAAAAAAAAAAAAAAAAAAABb&#10;Q29udGVudF9UeXBlc10ueG1sUEsBAi0AFAAGAAgAAAAhACOyauHXAAAAlAEAAAsAAAAAAAAAAAAA&#10;AAAALAEAAF9yZWxzLy5yZWxzUEsBAi0AFAAGAAgAAAAhALEcEGTfAgAANwYAAA4AAAAAAAAAAAAA&#10;AAAALAIAAGRycy9lMm9Eb2MueG1sUEsBAi0AFAAGAAgAAAAhACjKnuPiAAAACgEAAA8AAAAAAAAA&#10;AAAAAAAANwUAAGRycy9kb3ducmV2LnhtbFBLBQYAAAAABAAEAPMAAABGBgAAAAA=&#10;" filled="f" strokecolor="black [3213]">
                <v:textbox>
                  <w:txbxContent>
                    <w:p w14:paraId="52C2519B" w14:textId="1105C36C" w:rsidR="00C07F82" w:rsidRPr="00D83ED8" w:rsidRDefault="00183787">
                      <w:pPr>
                        <w:rPr>
                          <w:rFonts w:ascii="Garamond" w:hAnsi="Garamond"/>
                          <w:sz w:val="24"/>
                          <w:szCs w:val="24"/>
                        </w:rPr>
                      </w:pPr>
                      <w:r>
                        <w:rPr>
                          <w:rFonts w:ascii="Helvetica" w:eastAsiaTheme="minorEastAsia" w:hAnsi="Helvetica" w:cs="Helvetica"/>
                          <w:noProof/>
                          <w:sz w:val="24"/>
                          <w:szCs w:val="24"/>
                        </w:rPr>
                        <w:drawing>
                          <wp:inline distT="0" distB="0" distL="0" distR="0" wp14:anchorId="32F0B6AF" wp14:editId="5688E07D">
                            <wp:extent cx="2818130" cy="4202301"/>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7707" cy="4216582"/>
                                    </a:xfrm>
                                    <a:prstGeom prst="rect">
                                      <a:avLst/>
                                    </a:prstGeom>
                                    <a:noFill/>
                                    <a:ln>
                                      <a:noFill/>
                                    </a:ln>
                                  </pic:spPr>
                                </pic:pic>
                              </a:graphicData>
                            </a:graphic>
                          </wp:inline>
                        </w:drawing>
                      </w:r>
                    </w:p>
                  </w:txbxContent>
                </v:textbox>
                <w10:wrap type="tight"/>
              </v:shape>
            </w:pict>
          </mc:Fallback>
        </mc:AlternateContent>
      </w:r>
      <w:r w:rsidR="007A529F" w:rsidRPr="00627297">
        <w:rPr>
          <w:rFonts w:ascii="Garamond" w:hAnsi="Garamond"/>
          <w:b/>
          <w:noProof/>
          <w:color w:val="000000"/>
          <w:sz w:val="24"/>
          <w:szCs w:val="24"/>
        </w:rPr>
        <w:t>Canad</w:t>
      </w:r>
      <w:r w:rsidR="00183787" w:rsidRPr="00627297">
        <w:rPr>
          <w:rFonts w:ascii="Garamond" w:hAnsi="Garamond"/>
          <w:b/>
          <w:noProof/>
          <w:color w:val="000000"/>
          <w:sz w:val="24"/>
          <w:szCs w:val="24"/>
        </w:rPr>
        <w:t>a</w:t>
      </w:r>
    </w:p>
    <w:p w14:paraId="1CF347DD" w14:textId="77777777" w:rsidR="00CD3934" w:rsidRDefault="00CD3934" w:rsidP="00EB7A2F">
      <w:pPr>
        <w:spacing w:after="0" w:line="240" w:lineRule="auto"/>
        <w:ind w:firstLine="720"/>
        <w:rPr>
          <w:rFonts w:ascii="Garamond" w:eastAsia="Garamond" w:hAnsi="Garamond"/>
          <w:b/>
          <w:spacing w:val="4"/>
          <w:sz w:val="28"/>
          <w:szCs w:val="28"/>
          <w:lang w:val="x-none" w:eastAsia="x-none"/>
        </w:rPr>
      </w:pPr>
    </w:p>
    <w:p w14:paraId="1DE19F11" w14:textId="3641F8A0" w:rsidR="00CD3934" w:rsidRPr="00593FEB" w:rsidRDefault="00627297" w:rsidP="00CD3934">
      <w:pPr>
        <w:spacing w:line="240" w:lineRule="auto"/>
        <w:rPr>
          <w:rFonts w:ascii="Garamond" w:hAnsi="Garamond"/>
          <w:lang w:val="en-CA"/>
        </w:rPr>
      </w:pPr>
      <w:r>
        <w:rPr>
          <w:rFonts w:ascii="Garamond" w:hAnsi="Garamond"/>
          <w:lang w:val="en-CA"/>
        </w:rPr>
        <w:tab/>
      </w:r>
      <w:r w:rsidR="00CD3934" w:rsidRPr="00593FEB">
        <w:rPr>
          <w:rFonts w:ascii="Garamond" w:hAnsi="Garamond"/>
          <w:lang w:val="en-CA"/>
        </w:rPr>
        <w:t xml:space="preserve">Mark Hlavacik’s </w:t>
      </w:r>
      <w:r w:rsidR="00CD3934" w:rsidRPr="00593FEB">
        <w:rPr>
          <w:rFonts w:ascii="Garamond" w:hAnsi="Garamond"/>
          <w:i/>
          <w:lang w:val="en-CA"/>
        </w:rPr>
        <w:t>Assigning Blame: The Rhetoric of Education Reform</w:t>
      </w:r>
      <w:r w:rsidR="00CD3934" w:rsidRPr="00593FEB">
        <w:rPr>
          <w:rFonts w:ascii="Garamond" w:hAnsi="Garamond"/>
          <w:lang w:val="en-CA"/>
        </w:rPr>
        <w:t xml:space="preserve"> (2016) emphasizes the role of culpability in five public persuasions since the establishment of the United States Department of Education (ED). In 1979, President Jimmy Carter replaced the Education Of</w:t>
      </w:r>
      <w:r w:rsidR="00AC0996">
        <w:rPr>
          <w:rFonts w:ascii="Garamond" w:hAnsi="Garamond"/>
          <w:lang w:val="en-CA"/>
        </w:rPr>
        <w:t>fice with a national department</w:t>
      </w:r>
      <w:r w:rsidR="00CD3934" w:rsidRPr="00593FEB">
        <w:rPr>
          <w:rFonts w:ascii="Garamond" w:hAnsi="Garamond"/>
          <w:lang w:val="en-CA"/>
        </w:rPr>
        <w:t xml:space="preserve"> and</w:t>
      </w:r>
      <w:r w:rsidR="00AC0996">
        <w:rPr>
          <w:rFonts w:ascii="Garamond" w:hAnsi="Garamond"/>
          <w:lang w:val="en-CA"/>
        </w:rPr>
        <w:t>,</w:t>
      </w:r>
      <w:r w:rsidR="00CD3934" w:rsidRPr="00593FEB">
        <w:rPr>
          <w:rFonts w:ascii="Garamond" w:hAnsi="Garamond"/>
          <w:lang w:val="en-CA"/>
        </w:rPr>
        <w:t xml:space="preserve"> in doing so, school policy gained a new federal significance and demanded more intentional, nationwide deliberation. Tracing the consistent education reforms that followed, Hlavacik identifies blame as the principal stimulus </w:t>
      </w:r>
      <w:r w:rsidR="00CA57BC">
        <w:rPr>
          <w:rFonts w:ascii="Garamond" w:hAnsi="Garamond"/>
          <w:lang w:val="en-CA"/>
        </w:rPr>
        <w:t>utilized</w:t>
      </w:r>
      <w:r w:rsidR="00CD3934" w:rsidRPr="00593FEB">
        <w:rPr>
          <w:rFonts w:ascii="Garamond" w:hAnsi="Garamond"/>
          <w:lang w:val="en-CA"/>
        </w:rPr>
        <w:t xml:space="preserve"> by change advocates. A professor at the University of North Texas in Denton </w:t>
      </w:r>
      <w:r w:rsidR="00CA57BC">
        <w:rPr>
          <w:rFonts w:ascii="Garamond" w:hAnsi="Garamond"/>
          <w:lang w:val="en-CA"/>
        </w:rPr>
        <w:t xml:space="preserve">and </w:t>
      </w:r>
      <w:r w:rsidR="00CD3934" w:rsidRPr="00593FEB">
        <w:rPr>
          <w:rFonts w:ascii="Garamond" w:hAnsi="Garamond"/>
          <w:lang w:val="en-CA"/>
        </w:rPr>
        <w:t xml:space="preserve">specializing in public address and rhetorical criticism, the author’s interest in blame rhetoric comes to life in this text, as he not only interprets but challenges each persuader. Hlavacik’s meticulously detailed analysis, personal opinion, and use of ancient philosophical theory, </w:t>
      </w:r>
      <w:r w:rsidR="00CA57BC">
        <w:rPr>
          <w:rFonts w:ascii="Garamond" w:hAnsi="Garamond"/>
          <w:lang w:val="en-CA"/>
        </w:rPr>
        <w:t xml:space="preserve">combine to </w:t>
      </w:r>
      <w:r w:rsidR="00AC0996">
        <w:rPr>
          <w:rFonts w:ascii="Garamond" w:hAnsi="Garamond"/>
          <w:lang w:val="en-CA"/>
        </w:rPr>
        <w:t>demonstrate</w:t>
      </w:r>
      <w:r w:rsidR="00CD3934" w:rsidRPr="00593FEB">
        <w:rPr>
          <w:rFonts w:ascii="Garamond" w:hAnsi="Garamond"/>
          <w:lang w:val="en-CA"/>
        </w:rPr>
        <w:t xml:space="preserve"> how blame and rhetoric</w:t>
      </w:r>
      <w:r w:rsidR="00AC0996">
        <w:rPr>
          <w:rFonts w:ascii="Garamond" w:hAnsi="Garamond"/>
          <w:lang w:val="en-CA"/>
        </w:rPr>
        <w:t xml:space="preserve"> have</w:t>
      </w:r>
      <w:r w:rsidR="00CD3934" w:rsidRPr="00593FEB">
        <w:rPr>
          <w:rFonts w:ascii="Garamond" w:hAnsi="Garamond"/>
          <w:lang w:val="en-CA"/>
        </w:rPr>
        <w:t xml:space="preserve"> played a pivotal role in the manipulation of educational dogma. At the same time, he educates readers about covert forms </w:t>
      </w:r>
      <w:r w:rsidR="00CA57BC">
        <w:rPr>
          <w:rFonts w:ascii="Garamond" w:hAnsi="Garamond"/>
          <w:lang w:val="en-CA"/>
        </w:rPr>
        <w:t xml:space="preserve">of </w:t>
      </w:r>
      <w:r w:rsidR="00CD3934" w:rsidRPr="00593FEB">
        <w:rPr>
          <w:rFonts w:ascii="Garamond" w:hAnsi="Garamond"/>
          <w:lang w:val="en-CA"/>
        </w:rPr>
        <w:t>public blaming and the influences</w:t>
      </w:r>
      <w:r w:rsidR="00CA57BC">
        <w:rPr>
          <w:rFonts w:ascii="Garamond" w:hAnsi="Garamond"/>
          <w:lang w:val="en-CA"/>
        </w:rPr>
        <w:t xml:space="preserve"> that</w:t>
      </w:r>
      <w:r w:rsidR="00CD3934" w:rsidRPr="00593FEB">
        <w:rPr>
          <w:rFonts w:ascii="Garamond" w:hAnsi="Garamond"/>
          <w:lang w:val="en-CA"/>
        </w:rPr>
        <w:t xml:space="preserve"> it can have on policy.</w:t>
      </w:r>
    </w:p>
    <w:p w14:paraId="73A00113" w14:textId="20B2A835" w:rsidR="00CD3934" w:rsidRPr="00593FEB" w:rsidRDefault="00CD3934" w:rsidP="00CD3934">
      <w:pPr>
        <w:spacing w:line="240" w:lineRule="auto"/>
        <w:rPr>
          <w:rFonts w:ascii="Garamond" w:hAnsi="Garamond"/>
          <w:lang w:val="en-CA"/>
        </w:rPr>
      </w:pPr>
      <w:r w:rsidRPr="00593FEB">
        <w:rPr>
          <w:rFonts w:ascii="Garamond" w:hAnsi="Garamond"/>
          <w:lang w:val="en-CA"/>
        </w:rPr>
        <w:tab/>
        <w:t xml:space="preserve"> The five most significant public persuasions since the beginning of ED, as identified by the author, provide the framework for the volume: Milton Freidman’s Broadcast, “What’s Wrong with Our </w:t>
      </w:r>
      <w:r w:rsidRPr="00593FEB">
        <w:rPr>
          <w:rFonts w:ascii="Garamond" w:hAnsi="Garamond"/>
          <w:lang w:val="en-CA"/>
        </w:rPr>
        <w:lastRenderedPageBreak/>
        <w:t xml:space="preserve">Schools” (1980); the National Committee of Education Excellence’s report, “A Nation at Risk” (1983); Johnathon Kozol’s book, </w:t>
      </w:r>
      <w:r w:rsidRPr="00593FEB">
        <w:rPr>
          <w:rFonts w:ascii="Garamond" w:hAnsi="Garamond"/>
          <w:i/>
          <w:lang w:val="en-CA"/>
        </w:rPr>
        <w:t xml:space="preserve">Savage Inequalities </w:t>
      </w:r>
      <w:r w:rsidRPr="00593FEB">
        <w:rPr>
          <w:rFonts w:ascii="Garamond" w:hAnsi="Garamond"/>
          <w:lang w:val="en-CA"/>
        </w:rPr>
        <w:t xml:space="preserve">(1991); the implementation of the No Child Left Behind act (2001); and finally, Diane Ravitch’s critique of NCLB (2010). The author argues that in each </w:t>
      </w:r>
      <w:r w:rsidR="009B32DE" w:rsidRPr="00593FEB">
        <w:rPr>
          <w:rFonts w:ascii="Garamond" w:hAnsi="Garamond"/>
          <w:lang w:val="en-CA"/>
        </w:rPr>
        <w:t>instance</w:t>
      </w:r>
      <w:r w:rsidRPr="00593FEB">
        <w:rPr>
          <w:rFonts w:ascii="Garamond" w:hAnsi="Garamond"/>
          <w:lang w:val="en-CA"/>
        </w:rPr>
        <w:t xml:space="preserve">, public blame was strategically used to roster followers in the attempt to redirect policy. </w:t>
      </w:r>
    </w:p>
    <w:p w14:paraId="5C56350E" w14:textId="0AB13B67" w:rsidR="00CD3934" w:rsidRPr="00593FEB" w:rsidRDefault="00CD3934" w:rsidP="00CD3934">
      <w:pPr>
        <w:spacing w:line="240" w:lineRule="auto"/>
        <w:rPr>
          <w:rFonts w:ascii="Garamond" w:hAnsi="Garamond"/>
          <w:lang w:val="en-CA"/>
        </w:rPr>
      </w:pPr>
      <w:r w:rsidRPr="00593FEB">
        <w:rPr>
          <w:rFonts w:ascii="Garamond" w:hAnsi="Garamond"/>
          <w:lang w:val="en-CA"/>
        </w:rPr>
        <w:tab/>
        <w:t xml:space="preserve">First, in 1980, University of Chicago economist, Milton Friedman, hosted a Public Broadcasting Services radio broadcast, </w:t>
      </w:r>
      <w:r w:rsidRPr="00593FEB">
        <w:rPr>
          <w:rFonts w:ascii="Garamond" w:hAnsi="Garamond"/>
          <w:i/>
          <w:lang w:val="en-CA"/>
        </w:rPr>
        <w:t xml:space="preserve">Free to Choose, </w:t>
      </w:r>
      <w:r w:rsidRPr="00593FEB">
        <w:rPr>
          <w:rFonts w:ascii="Garamond" w:hAnsi="Garamond"/>
          <w:lang w:val="en-CA"/>
        </w:rPr>
        <w:t xml:space="preserve">that addressed various issues pertinent to the American people. In one of his 10 hour-long segments, “What’s Wrong with Our Schools?” he advocated for parent-controlled vouchers and </w:t>
      </w:r>
      <w:r w:rsidR="00CA57BC">
        <w:rPr>
          <w:rFonts w:ascii="Garamond" w:hAnsi="Garamond"/>
          <w:lang w:val="en-CA"/>
        </w:rPr>
        <w:t>the relocation of</w:t>
      </w:r>
      <w:r w:rsidRPr="00593FEB">
        <w:rPr>
          <w:rFonts w:ascii="Garamond" w:hAnsi="Garamond"/>
          <w:lang w:val="en-CA"/>
        </w:rPr>
        <w:t xml:space="preserve"> public funding in order to </w:t>
      </w:r>
      <w:r w:rsidR="006B254C">
        <w:rPr>
          <w:rFonts w:ascii="Garamond" w:hAnsi="Garamond"/>
          <w:lang w:val="en-CA"/>
        </w:rPr>
        <w:t xml:space="preserve">create an </w:t>
      </w:r>
      <w:r w:rsidR="00C30F6C">
        <w:rPr>
          <w:rFonts w:ascii="Garamond" w:hAnsi="Garamond"/>
          <w:lang w:val="en-CA"/>
        </w:rPr>
        <w:t>educational market system</w:t>
      </w:r>
      <w:r w:rsidRPr="00593FEB">
        <w:rPr>
          <w:rFonts w:ascii="Garamond" w:hAnsi="Garamond"/>
          <w:lang w:val="en-CA"/>
        </w:rPr>
        <w:t xml:space="preserve">. In his book, Hlavacik proposes that Freidman pursued public support by identifying teachers and school administrators as “an oppressive bureaucracy running the public schools (p. 21)”.  Next, a 1983 NCEE report, intended to support the reduction of federal involvement in schooling, ended up identifying the United States as a “Nation at Risk” desperately in need of government led, school reform. Essentially, the NCEE blamed the system itself for the dire realities of schooling. Almost a decade later, Jonathon Kozol, author of </w:t>
      </w:r>
      <w:r w:rsidRPr="00593FEB">
        <w:rPr>
          <w:rFonts w:ascii="Garamond" w:hAnsi="Garamond"/>
          <w:i/>
          <w:lang w:val="en-CA"/>
        </w:rPr>
        <w:t xml:space="preserve">Savage Inequalities </w:t>
      </w:r>
      <w:r w:rsidRPr="00593FEB">
        <w:rPr>
          <w:rFonts w:ascii="Garamond" w:hAnsi="Garamond"/>
          <w:lang w:val="en-CA"/>
        </w:rPr>
        <w:t>(1991),</w:t>
      </w:r>
      <w:r w:rsidRPr="00593FEB">
        <w:rPr>
          <w:rFonts w:ascii="Garamond" w:hAnsi="Garamond"/>
          <w:i/>
          <w:lang w:val="en-CA"/>
        </w:rPr>
        <w:t xml:space="preserve"> </w:t>
      </w:r>
      <w:r w:rsidRPr="00593FEB">
        <w:rPr>
          <w:rFonts w:ascii="Garamond" w:hAnsi="Garamond"/>
          <w:lang w:val="en-CA"/>
        </w:rPr>
        <w:t xml:space="preserve">used vivid and disturbing depictions of East St. Louis schools in an attempt to blame segregation for failing, inner-city schools. Finally, conservative thinker Diane Ravitch makes a public transformation from No Child Left Behind (NCLB) supporter to disparager. While NCLB (2001) was intended to improve educational equity by increasing funding and accountability, in 2010, Ravitch, along with other disbelievers, accused the act of intensifying the problems. </w:t>
      </w:r>
      <w:r w:rsidRPr="00593FEB">
        <w:rPr>
          <w:rFonts w:ascii="Garamond" w:hAnsi="Garamond"/>
          <w:i/>
          <w:lang w:val="en-CA"/>
        </w:rPr>
        <w:t>Assigning Blame</w:t>
      </w:r>
      <w:r w:rsidRPr="00593FEB">
        <w:rPr>
          <w:rFonts w:ascii="Garamond" w:hAnsi="Garamond"/>
          <w:lang w:val="en-CA"/>
        </w:rPr>
        <w:t xml:space="preserve"> outlines the use of public blame as the principal proponent of each of these thrusts </w:t>
      </w:r>
      <w:r w:rsidR="00AB3C16">
        <w:rPr>
          <w:rFonts w:ascii="Garamond" w:hAnsi="Garamond"/>
          <w:lang w:val="en-CA"/>
        </w:rPr>
        <w:t>towards</w:t>
      </w:r>
      <w:r w:rsidR="009404E9">
        <w:rPr>
          <w:rFonts w:ascii="Garamond" w:hAnsi="Garamond"/>
          <w:lang w:val="en-CA"/>
        </w:rPr>
        <w:t xml:space="preserve"> education</w:t>
      </w:r>
      <w:r w:rsidRPr="00593FEB">
        <w:rPr>
          <w:rFonts w:ascii="Garamond" w:hAnsi="Garamond"/>
          <w:lang w:val="en-CA"/>
        </w:rPr>
        <w:t xml:space="preserve"> reform.</w:t>
      </w:r>
    </w:p>
    <w:p w14:paraId="50B1BA03" w14:textId="1672ECC3" w:rsidR="00CA57BC" w:rsidRDefault="00CD3934" w:rsidP="00CD3934">
      <w:pPr>
        <w:spacing w:line="240" w:lineRule="auto"/>
        <w:rPr>
          <w:rFonts w:ascii="Garamond" w:hAnsi="Garamond"/>
          <w:lang w:val="en-CA"/>
        </w:rPr>
      </w:pPr>
      <w:r w:rsidRPr="00593FEB">
        <w:rPr>
          <w:rFonts w:ascii="Garamond" w:hAnsi="Garamond"/>
          <w:lang w:val="en-CA"/>
        </w:rPr>
        <w:tab/>
        <w:t xml:space="preserve">The book begins and ends with a rich definition of “public blame”. According to Hlavacik, blame goes beyond simply assigning culpability. Public blame is </w:t>
      </w:r>
      <w:r w:rsidR="00B53F7A">
        <w:rPr>
          <w:rFonts w:ascii="Garamond" w:hAnsi="Garamond"/>
          <w:lang w:val="en-CA"/>
        </w:rPr>
        <w:t xml:space="preserve">both </w:t>
      </w:r>
      <w:r w:rsidRPr="00593FEB">
        <w:rPr>
          <w:rFonts w:ascii="Garamond" w:hAnsi="Garamond"/>
          <w:lang w:val="en-CA"/>
        </w:rPr>
        <w:t xml:space="preserve">deliberate and purposeful. Those seeking to </w:t>
      </w:r>
      <w:r w:rsidR="00F839E2">
        <w:rPr>
          <w:rFonts w:ascii="Garamond" w:hAnsi="Garamond"/>
          <w:lang w:val="en-CA"/>
        </w:rPr>
        <w:t>apply</w:t>
      </w:r>
      <w:r w:rsidRPr="00593FEB">
        <w:rPr>
          <w:rFonts w:ascii="Garamond" w:hAnsi="Garamond"/>
          <w:lang w:val="en-CA"/>
        </w:rPr>
        <w:t xml:space="preserve"> it, req</w:t>
      </w:r>
      <w:r w:rsidR="00DA0DDA">
        <w:rPr>
          <w:rFonts w:ascii="Garamond" w:hAnsi="Garamond"/>
          <w:lang w:val="en-CA"/>
        </w:rPr>
        <w:t xml:space="preserve">uire civil agreement </w:t>
      </w:r>
      <w:r w:rsidR="00416687">
        <w:rPr>
          <w:rFonts w:ascii="Garamond" w:hAnsi="Garamond"/>
          <w:lang w:val="en-CA"/>
        </w:rPr>
        <w:t>about</w:t>
      </w:r>
      <w:r w:rsidR="00DA0DDA">
        <w:rPr>
          <w:rFonts w:ascii="Garamond" w:hAnsi="Garamond"/>
          <w:lang w:val="en-CA"/>
        </w:rPr>
        <w:t xml:space="preserve"> where it should </w:t>
      </w:r>
      <w:r w:rsidR="00B53F7A">
        <w:rPr>
          <w:rFonts w:ascii="Garamond" w:hAnsi="Garamond"/>
          <w:lang w:val="en-CA"/>
        </w:rPr>
        <w:t>be placed</w:t>
      </w:r>
      <w:r w:rsidRPr="00593FEB">
        <w:rPr>
          <w:rFonts w:ascii="Garamond" w:hAnsi="Garamond"/>
          <w:lang w:val="en-CA"/>
        </w:rPr>
        <w:t xml:space="preserve">, as well as its implications. The author argues that public blame is a strategic instrument intentionally </w:t>
      </w:r>
      <w:r w:rsidR="007E5303">
        <w:rPr>
          <w:rFonts w:ascii="Garamond" w:hAnsi="Garamond"/>
          <w:lang w:val="en-CA"/>
        </w:rPr>
        <w:t>employed</w:t>
      </w:r>
      <w:r w:rsidRPr="00593FEB">
        <w:rPr>
          <w:rFonts w:ascii="Garamond" w:hAnsi="Garamond"/>
          <w:lang w:val="en-CA"/>
        </w:rPr>
        <w:t xml:space="preserve"> by the theorist to alter agency. </w:t>
      </w:r>
    </w:p>
    <w:p w14:paraId="3FE43FB8" w14:textId="77777777" w:rsidR="00CA57BC" w:rsidRDefault="00CA57BC" w:rsidP="00CD3934">
      <w:pPr>
        <w:spacing w:line="240" w:lineRule="auto"/>
        <w:rPr>
          <w:rFonts w:ascii="Garamond" w:hAnsi="Garamond"/>
          <w:lang w:val="en-CA"/>
        </w:rPr>
      </w:pPr>
      <w:r>
        <w:rPr>
          <w:rFonts w:ascii="Garamond" w:hAnsi="Garamond"/>
          <w:lang w:val="en-CA"/>
        </w:rPr>
        <w:tab/>
      </w:r>
      <w:r w:rsidR="00CD3934" w:rsidRPr="00593FEB">
        <w:rPr>
          <w:rFonts w:ascii="Garamond" w:hAnsi="Garamond"/>
          <w:lang w:val="en-CA"/>
        </w:rPr>
        <w:t xml:space="preserve">…acts of blame fit their social context and </w:t>
      </w:r>
      <w:r>
        <w:rPr>
          <w:rFonts w:ascii="Garamond" w:hAnsi="Garamond"/>
          <w:lang w:val="en-CA"/>
        </w:rPr>
        <w:tab/>
      </w:r>
      <w:r w:rsidR="00CD3934" w:rsidRPr="00593FEB">
        <w:rPr>
          <w:rFonts w:ascii="Garamond" w:hAnsi="Garamond"/>
          <w:lang w:val="en-CA"/>
        </w:rPr>
        <w:t xml:space="preserve">how they try to exert pressure on that context, </w:t>
      </w:r>
      <w:r>
        <w:rPr>
          <w:rFonts w:ascii="Garamond" w:hAnsi="Garamond"/>
          <w:lang w:val="en-CA"/>
        </w:rPr>
        <w:tab/>
      </w:r>
      <w:r w:rsidR="00CD3934" w:rsidRPr="00593FEB">
        <w:rPr>
          <w:rFonts w:ascii="Garamond" w:hAnsi="Garamond"/>
          <w:lang w:val="en-CA"/>
        </w:rPr>
        <w:t xml:space="preserve">especially as they rearrange the power to act, </w:t>
      </w:r>
      <w:r>
        <w:rPr>
          <w:rFonts w:ascii="Garamond" w:hAnsi="Garamond"/>
          <w:lang w:val="en-CA"/>
        </w:rPr>
        <w:tab/>
      </w:r>
      <w:r w:rsidR="00CD3934" w:rsidRPr="00593FEB">
        <w:rPr>
          <w:rFonts w:ascii="Garamond" w:hAnsi="Garamond"/>
          <w:lang w:val="en-CA"/>
        </w:rPr>
        <w:t>th</w:t>
      </w:r>
      <w:r>
        <w:rPr>
          <w:rFonts w:ascii="Garamond" w:hAnsi="Garamond"/>
          <w:lang w:val="en-CA"/>
        </w:rPr>
        <w:t>at is, as they rearrange agency</w:t>
      </w:r>
      <w:r w:rsidR="00CD3934" w:rsidRPr="00593FEB">
        <w:rPr>
          <w:rFonts w:ascii="Garamond" w:hAnsi="Garamond"/>
          <w:lang w:val="en-CA"/>
        </w:rPr>
        <w:t xml:space="preserve"> (p. 11). </w:t>
      </w:r>
    </w:p>
    <w:p w14:paraId="357B4F9B" w14:textId="5DDAB2C7" w:rsidR="00CA57BC" w:rsidRDefault="00CD3934" w:rsidP="00CD3934">
      <w:pPr>
        <w:spacing w:line="240" w:lineRule="auto"/>
        <w:rPr>
          <w:rFonts w:ascii="Garamond" w:hAnsi="Garamond"/>
          <w:lang w:val="en-CA"/>
        </w:rPr>
      </w:pPr>
      <w:r w:rsidRPr="00593FEB">
        <w:rPr>
          <w:rFonts w:ascii="Garamond" w:hAnsi="Garamond"/>
          <w:lang w:val="en-CA"/>
        </w:rPr>
        <w:t xml:space="preserve">Hlavacik’s interpretations can be seen as destructive, suggesting that each argument centered only on public blame without acknowledging the possibility that </w:t>
      </w:r>
      <w:r w:rsidR="007E5303">
        <w:rPr>
          <w:rFonts w:ascii="Garamond" w:hAnsi="Garamond"/>
          <w:lang w:val="en-CA"/>
        </w:rPr>
        <w:t xml:space="preserve">the </w:t>
      </w:r>
      <w:r w:rsidRPr="00593FEB">
        <w:rPr>
          <w:rFonts w:ascii="Garamond" w:hAnsi="Garamond"/>
          <w:lang w:val="en-CA"/>
        </w:rPr>
        <w:t>theorist</w:t>
      </w:r>
      <w:r w:rsidR="007E5303">
        <w:rPr>
          <w:rFonts w:ascii="Garamond" w:hAnsi="Garamond"/>
          <w:lang w:val="en-CA"/>
        </w:rPr>
        <w:t>s</w:t>
      </w:r>
      <w:r w:rsidRPr="00593FEB">
        <w:rPr>
          <w:rFonts w:ascii="Garamond" w:hAnsi="Garamond"/>
          <w:lang w:val="en-CA"/>
        </w:rPr>
        <w:t xml:space="preserve"> </w:t>
      </w:r>
      <w:r w:rsidR="007E5303">
        <w:rPr>
          <w:rFonts w:ascii="Garamond" w:hAnsi="Garamond"/>
          <w:lang w:val="en-CA"/>
        </w:rPr>
        <w:t>had</w:t>
      </w:r>
      <w:r w:rsidRPr="00593FEB">
        <w:rPr>
          <w:rFonts w:ascii="Garamond" w:hAnsi="Garamond"/>
          <w:lang w:val="en-CA"/>
        </w:rPr>
        <w:t xml:space="preserve"> </w:t>
      </w:r>
      <w:r w:rsidR="007E5303">
        <w:rPr>
          <w:rFonts w:ascii="Garamond" w:hAnsi="Garamond"/>
          <w:lang w:val="en-CA"/>
        </w:rPr>
        <w:t xml:space="preserve">any </w:t>
      </w:r>
      <w:r w:rsidRPr="00593FEB">
        <w:rPr>
          <w:rFonts w:ascii="Garamond" w:hAnsi="Garamond"/>
          <w:lang w:val="en-CA"/>
        </w:rPr>
        <w:t xml:space="preserve">positive intentions in seeking reform. </w:t>
      </w:r>
      <w:r w:rsidRPr="00593FEB">
        <w:rPr>
          <w:rFonts w:ascii="Garamond" w:hAnsi="Garamond"/>
          <w:lang w:val="en-CA"/>
        </w:rPr>
        <w:lastRenderedPageBreak/>
        <w:t xml:space="preserve">Blame, according to the author, is the primary focus of Milton Freidman, David Kozol and Diane Ravitch’s pleas, instead of their calls to action and theories of change. Hlavacik explains that, </w:t>
      </w:r>
    </w:p>
    <w:p w14:paraId="46C1F7A4" w14:textId="17D98991" w:rsidR="00CA57BC" w:rsidRDefault="00CA57BC" w:rsidP="00CD3934">
      <w:pPr>
        <w:spacing w:line="240" w:lineRule="auto"/>
        <w:rPr>
          <w:rFonts w:ascii="Garamond" w:hAnsi="Garamond"/>
          <w:lang w:val="en-CA"/>
        </w:rPr>
      </w:pPr>
      <w:r>
        <w:rPr>
          <w:rFonts w:ascii="Garamond" w:hAnsi="Garamond"/>
          <w:lang w:val="en-CA"/>
        </w:rPr>
        <w:tab/>
      </w:r>
      <w:r w:rsidR="00CD3934" w:rsidRPr="00593FEB">
        <w:rPr>
          <w:rFonts w:ascii="Garamond" w:hAnsi="Garamond"/>
          <w:lang w:val="en-CA"/>
        </w:rPr>
        <w:t xml:space="preserve">(r)endered dramatically in Kozol’s captivating </w:t>
      </w:r>
      <w:r>
        <w:rPr>
          <w:rFonts w:ascii="Garamond" w:hAnsi="Garamond"/>
          <w:lang w:val="en-CA"/>
        </w:rPr>
        <w:tab/>
      </w:r>
      <w:r w:rsidR="00CD3934" w:rsidRPr="00593FEB">
        <w:rPr>
          <w:rFonts w:ascii="Garamond" w:hAnsi="Garamond"/>
          <w:lang w:val="en-CA"/>
        </w:rPr>
        <w:t xml:space="preserve">prose, aesthetic and historical differences </w:t>
      </w:r>
      <w:r>
        <w:rPr>
          <w:rFonts w:ascii="Garamond" w:hAnsi="Garamond"/>
          <w:lang w:val="en-CA"/>
        </w:rPr>
        <w:tab/>
      </w:r>
      <w:r w:rsidR="00CD3934" w:rsidRPr="00593FEB">
        <w:rPr>
          <w:rFonts w:ascii="Garamond" w:hAnsi="Garamond"/>
          <w:lang w:val="en-CA"/>
        </w:rPr>
        <w:t xml:space="preserve">between wealthy and poor neighbourhoods </w:t>
      </w:r>
      <w:r>
        <w:rPr>
          <w:rFonts w:ascii="Garamond" w:hAnsi="Garamond"/>
          <w:lang w:val="en-CA"/>
        </w:rPr>
        <w:tab/>
      </w:r>
      <w:r>
        <w:rPr>
          <w:rFonts w:ascii="Garamond" w:hAnsi="Garamond"/>
          <w:lang w:val="en-CA"/>
        </w:rPr>
        <w:tab/>
      </w:r>
      <w:r w:rsidR="00475B56">
        <w:rPr>
          <w:rFonts w:ascii="Garamond" w:hAnsi="Garamond"/>
          <w:lang w:val="en-CA"/>
        </w:rPr>
        <w:t>become the basi</w:t>
      </w:r>
      <w:r w:rsidR="00CD3934" w:rsidRPr="00593FEB">
        <w:rPr>
          <w:rFonts w:ascii="Garamond" w:hAnsi="Garamond"/>
          <w:lang w:val="en-CA"/>
        </w:rPr>
        <w:t xml:space="preserve">s for his readers’ judgements </w:t>
      </w:r>
      <w:r>
        <w:rPr>
          <w:rFonts w:ascii="Garamond" w:hAnsi="Garamond"/>
          <w:lang w:val="en-CA"/>
        </w:rPr>
        <w:tab/>
      </w:r>
      <w:r w:rsidR="00CD3934" w:rsidRPr="00593FEB">
        <w:rPr>
          <w:rFonts w:ascii="Garamond" w:hAnsi="Garamond"/>
          <w:lang w:val="en-CA"/>
        </w:rPr>
        <w:t>of Chicag</w:t>
      </w:r>
      <w:r>
        <w:rPr>
          <w:rFonts w:ascii="Garamond" w:hAnsi="Garamond"/>
          <w:lang w:val="en-CA"/>
        </w:rPr>
        <w:t>o and New York (p. 87)</w:t>
      </w:r>
      <w:r w:rsidR="00CD3934" w:rsidRPr="00593FEB">
        <w:rPr>
          <w:rFonts w:ascii="Garamond" w:hAnsi="Garamond"/>
          <w:lang w:val="en-CA"/>
        </w:rPr>
        <w:t xml:space="preserve">. </w:t>
      </w:r>
    </w:p>
    <w:p w14:paraId="0FC5EB57" w14:textId="77777777" w:rsidR="00CA57BC" w:rsidRDefault="00CD3934" w:rsidP="00CD3934">
      <w:pPr>
        <w:spacing w:line="240" w:lineRule="auto"/>
        <w:rPr>
          <w:rFonts w:ascii="Garamond" w:hAnsi="Garamond"/>
          <w:lang w:val="en-CA"/>
        </w:rPr>
      </w:pPr>
      <w:r w:rsidRPr="00593FEB">
        <w:rPr>
          <w:rFonts w:ascii="Garamond" w:hAnsi="Garamond"/>
          <w:lang w:val="en-CA"/>
        </w:rPr>
        <w:t xml:space="preserve">In a later chapter, he interprets Ravitch’s actions as intentionally cunning: </w:t>
      </w:r>
    </w:p>
    <w:p w14:paraId="4EABCB4E" w14:textId="77777777" w:rsidR="00CA57BC" w:rsidRDefault="00CA57BC" w:rsidP="00CD3934">
      <w:pPr>
        <w:spacing w:line="240" w:lineRule="auto"/>
        <w:rPr>
          <w:rFonts w:ascii="Garamond" w:hAnsi="Garamond"/>
          <w:lang w:val="en-CA"/>
        </w:rPr>
      </w:pPr>
      <w:r>
        <w:rPr>
          <w:rFonts w:ascii="Garamond" w:hAnsi="Garamond"/>
          <w:lang w:val="en-CA"/>
        </w:rPr>
        <w:tab/>
      </w:r>
      <w:r w:rsidR="00CD3934" w:rsidRPr="00593FEB">
        <w:rPr>
          <w:rFonts w:ascii="Garamond" w:hAnsi="Garamond"/>
          <w:lang w:val="en-CA"/>
        </w:rPr>
        <w:t xml:space="preserve">Thus, by denouncing her former advocacy for </w:t>
      </w:r>
      <w:r>
        <w:rPr>
          <w:rFonts w:ascii="Garamond" w:hAnsi="Garamond"/>
          <w:lang w:val="en-CA"/>
        </w:rPr>
        <w:tab/>
      </w:r>
      <w:r w:rsidR="00CD3934" w:rsidRPr="00593FEB">
        <w:rPr>
          <w:rFonts w:ascii="Garamond" w:hAnsi="Garamond"/>
          <w:lang w:val="en-CA"/>
        </w:rPr>
        <w:t xml:space="preserve">NCLB, Ravitch was not detracting from her </w:t>
      </w:r>
      <w:r>
        <w:rPr>
          <w:rFonts w:ascii="Garamond" w:hAnsi="Garamond"/>
          <w:lang w:val="en-CA"/>
        </w:rPr>
        <w:tab/>
      </w:r>
      <w:r>
        <w:rPr>
          <w:rFonts w:ascii="Garamond" w:hAnsi="Garamond"/>
          <w:lang w:val="en-CA"/>
        </w:rPr>
        <w:tab/>
      </w:r>
      <w:r w:rsidR="00CD3934" w:rsidRPr="00593FEB">
        <w:rPr>
          <w:rFonts w:ascii="Garamond" w:hAnsi="Garamond"/>
          <w:lang w:val="en-CA"/>
        </w:rPr>
        <w:t xml:space="preserve">ethos, but actually enhancing it. Able to see </w:t>
      </w:r>
      <w:r>
        <w:rPr>
          <w:rFonts w:ascii="Garamond" w:hAnsi="Garamond"/>
          <w:lang w:val="en-CA"/>
        </w:rPr>
        <w:tab/>
      </w:r>
      <w:r w:rsidR="00CD3934" w:rsidRPr="00593FEB">
        <w:rPr>
          <w:rFonts w:ascii="Garamond" w:hAnsi="Garamond"/>
          <w:lang w:val="en-CA"/>
        </w:rPr>
        <w:t xml:space="preserve">her ‘way through the blind assumptions of </w:t>
      </w:r>
      <w:r>
        <w:rPr>
          <w:rFonts w:ascii="Garamond" w:hAnsi="Garamond"/>
          <w:lang w:val="en-CA"/>
        </w:rPr>
        <w:tab/>
      </w:r>
      <w:r>
        <w:rPr>
          <w:rFonts w:ascii="Garamond" w:hAnsi="Garamond"/>
          <w:lang w:val="en-CA"/>
        </w:rPr>
        <w:tab/>
      </w:r>
      <w:r w:rsidR="00CD3934" w:rsidRPr="00593FEB">
        <w:rPr>
          <w:rFonts w:ascii="Garamond" w:hAnsi="Garamond"/>
          <w:lang w:val="en-CA"/>
        </w:rPr>
        <w:t xml:space="preserve">ideology and politics,’ (p. 129).  </w:t>
      </w:r>
    </w:p>
    <w:p w14:paraId="723E3D5D" w14:textId="62EA46F9" w:rsidR="00CD3934" w:rsidRPr="00593FEB" w:rsidRDefault="00CD3934" w:rsidP="00CD3934">
      <w:pPr>
        <w:spacing w:line="240" w:lineRule="auto"/>
        <w:rPr>
          <w:rFonts w:ascii="Garamond" w:hAnsi="Garamond"/>
          <w:lang w:val="en-CA"/>
        </w:rPr>
      </w:pPr>
      <w:r w:rsidRPr="00593FEB">
        <w:rPr>
          <w:rFonts w:ascii="Garamond" w:hAnsi="Garamond"/>
          <w:lang w:val="en-CA"/>
        </w:rPr>
        <w:t xml:space="preserve">In </w:t>
      </w:r>
      <w:r w:rsidR="00CA57BC">
        <w:rPr>
          <w:rFonts w:ascii="Garamond" w:hAnsi="Garamond"/>
          <w:lang w:val="en-CA"/>
        </w:rPr>
        <w:t>the</w:t>
      </w:r>
      <w:r w:rsidRPr="00593FEB">
        <w:rPr>
          <w:rFonts w:ascii="Garamond" w:hAnsi="Garamond"/>
          <w:lang w:val="en-CA"/>
        </w:rPr>
        <w:t xml:space="preserve"> text, policy advocates are separated from any genuine concern for school improvement. Instead, they are identified as premeditative and calculated word-smiths, exploiting a susceptible public. A skeptical reader may find this overly pessimistic, and may lead to the decision that the author lacks reason and credibility, therefore weakening his argument. On the other hand, a more malleable reader may internalize this theory and lose faith in policy and policy makers. </w:t>
      </w:r>
    </w:p>
    <w:p w14:paraId="75497F40" w14:textId="40CA0677" w:rsidR="00CA57BC" w:rsidRDefault="00CD3934" w:rsidP="00CD3934">
      <w:pPr>
        <w:spacing w:line="240" w:lineRule="auto"/>
        <w:rPr>
          <w:rFonts w:ascii="Garamond" w:hAnsi="Garamond"/>
          <w:lang w:val="en-CA"/>
        </w:rPr>
      </w:pPr>
      <w:r w:rsidRPr="00593FEB">
        <w:rPr>
          <w:rFonts w:ascii="Garamond" w:hAnsi="Garamond"/>
          <w:lang w:val="en-CA"/>
        </w:rPr>
        <w:tab/>
        <w:t xml:space="preserve">In general, Hlavacik supports the use of public blame and rhetoric. Within the text, he explains his own participation in public blaming, in an attempt to enlist and gain the trust of educational professionals. </w:t>
      </w:r>
      <w:r w:rsidR="00416687">
        <w:rPr>
          <w:rFonts w:ascii="Garamond" w:hAnsi="Garamond"/>
          <w:lang w:val="en-CA"/>
        </w:rPr>
        <w:t>He</w:t>
      </w:r>
      <w:r w:rsidRPr="00593FEB">
        <w:rPr>
          <w:rFonts w:ascii="Garamond" w:hAnsi="Garamond"/>
          <w:lang w:val="en-CA"/>
        </w:rPr>
        <w:t xml:space="preserve"> clarifies that he is neither suggesting that blame is inherently wrong nor that it should be eliminated from policy discourse. Instead, the author attempts to identify how this tactic has historically been misused, and consequently, he advocates for fewer and more thoughtful acts of public blame: </w:t>
      </w:r>
    </w:p>
    <w:p w14:paraId="43A91002" w14:textId="33789F12" w:rsidR="00CA57BC" w:rsidRDefault="00CA57BC" w:rsidP="00CD3934">
      <w:pPr>
        <w:spacing w:line="240" w:lineRule="auto"/>
        <w:rPr>
          <w:rFonts w:ascii="Garamond" w:hAnsi="Garamond"/>
          <w:lang w:val="en-CA"/>
        </w:rPr>
      </w:pPr>
      <w:r>
        <w:rPr>
          <w:rFonts w:ascii="Garamond" w:hAnsi="Garamond"/>
          <w:lang w:val="en-CA"/>
        </w:rPr>
        <w:tab/>
      </w:r>
      <w:r w:rsidR="00CD3934" w:rsidRPr="00593FEB">
        <w:rPr>
          <w:rFonts w:ascii="Garamond" w:hAnsi="Garamond"/>
          <w:lang w:val="en-CA"/>
        </w:rPr>
        <w:t xml:space="preserve">Blame is a relatively extreme rhetorical tactic. </w:t>
      </w:r>
      <w:r>
        <w:rPr>
          <w:rFonts w:ascii="Garamond" w:hAnsi="Garamond"/>
          <w:lang w:val="en-CA"/>
        </w:rPr>
        <w:tab/>
      </w:r>
      <w:r w:rsidR="00CD3934" w:rsidRPr="00593FEB">
        <w:rPr>
          <w:rFonts w:ascii="Garamond" w:hAnsi="Garamond"/>
          <w:lang w:val="en-CA"/>
        </w:rPr>
        <w:t xml:space="preserve">In addition to using blame less frequently, </w:t>
      </w:r>
      <w:r>
        <w:rPr>
          <w:rFonts w:ascii="Garamond" w:hAnsi="Garamond"/>
          <w:lang w:val="en-CA"/>
        </w:rPr>
        <w:tab/>
      </w:r>
      <w:r w:rsidR="00CD3934" w:rsidRPr="00593FEB">
        <w:rPr>
          <w:rFonts w:ascii="Garamond" w:hAnsi="Garamond"/>
          <w:lang w:val="en-CA"/>
        </w:rPr>
        <w:t xml:space="preserve">public deliberation benefits when its </w:t>
      </w:r>
      <w:r>
        <w:rPr>
          <w:rFonts w:ascii="Garamond" w:hAnsi="Garamond"/>
          <w:lang w:val="en-CA"/>
        </w:rPr>
        <w:tab/>
      </w:r>
      <w:r w:rsidR="00CD3934" w:rsidRPr="00593FEB">
        <w:rPr>
          <w:rFonts w:ascii="Garamond" w:hAnsi="Garamond"/>
          <w:lang w:val="en-CA"/>
        </w:rPr>
        <w:t xml:space="preserve">participants take care to use blame </w:t>
      </w:r>
      <w:r>
        <w:rPr>
          <w:rFonts w:ascii="Garamond" w:hAnsi="Garamond"/>
          <w:lang w:val="en-CA"/>
        </w:rPr>
        <w:tab/>
        <w:t>proportionately</w:t>
      </w:r>
      <w:r w:rsidR="00CD3934" w:rsidRPr="00593FEB">
        <w:rPr>
          <w:rFonts w:ascii="Garamond" w:hAnsi="Garamond"/>
          <w:lang w:val="en-CA"/>
        </w:rPr>
        <w:t xml:space="preserve"> (p. 163). </w:t>
      </w:r>
    </w:p>
    <w:p w14:paraId="58C50C79" w14:textId="0352A0AC" w:rsidR="00CD3934" w:rsidRPr="00593FEB" w:rsidRDefault="00CD3934" w:rsidP="00CD3934">
      <w:pPr>
        <w:spacing w:line="240" w:lineRule="auto"/>
        <w:rPr>
          <w:rFonts w:ascii="Garamond" w:hAnsi="Garamond"/>
          <w:lang w:val="en-CA"/>
        </w:rPr>
      </w:pPr>
      <w:r w:rsidRPr="00593FEB">
        <w:rPr>
          <w:rFonts w:ascii="Garamond" w:hAnsi="Garamond"/>
          <w:lang w:val="en-CA"/>
        </w:rPr>
        <w:t xml:space="preserve">Unfortunately, while he generally touches on the option of praise as an alternative for advocates to use in place of blame, Hlavacik does not specifically suggest other approaches for any of his five examples, nor does he constructively critique the blaming outlined in each chapter. Had Hlavacik provided a richer critique rather than simply identifying the rhetorical acts in each example, the reader may be able to better understand his meaning of appropriate or “thoughtful” </w:t>
      </w:r>
      <w:r w:rsidR="00416687">
        <w:rPr>
          <w:rFonts w:ascii="Garamond" w:hAnsi="Garamond"/>
          <w:lang w:val="en-CA"/>
        </w:rPr>
        <w:t>implementation</w:t>
      </w:r>
      <w:r w:rsidRPr="00593FEB">
        <w:rPr>
          <w:rFonts w:ascii="Garamond" w:hAnsi="Garamond"/>
          <w:lang w:val="en-CA"/>
        </w:rPr>
        <w:t xml:space="preserve">. </w:t>
      </w:r>
    </w:p>
    <w:p w14:paraId="08EBDDE7" w14:textId="4B298829" w:rsidR="00C67BD1" w:rsidRDefault="00CD3934" w:rsidP="00CD3934">
      <w:pPr>
        <w:spacing w:line="240" w:lineRule="auto"/>
        <w:rPr>
          <w:rFonts w:ascii="Garamond" w:hAnsi="Garamond"/>
          <w:lang w:val="en-CA"/>
        </w:rPr>
      </w:pPr>
      <w:r w:rsidRPr="00593FEB">
        <w:rPr>
          <w:rFonts w:ascii="Garamond" w:hAnsi="Garamond"/>
          <w:lang w:val="en-CA"/>
        </w:rPr>
        <w:lastRenderedPageBreak/>
        <w:tab/>
        <w:t xml:space="preserve">In </w:t>
      </w:r>
      <w:r w:rsidR="0088470F">
        <w:rPr>
          <w:rFonts w:ascii="Garamond" w:hAnsi="Garamond"/>
          <w:lang w:val="en-CA"/>
        </w:rPr>
        <w:t>Hlavacik’s</w:t>
      </w:r>
      <w:r w:rsidRPr="00593FEB">
        <w:rPr>
          <w:rFonts w:ascii="Garamond" w:hAnsi="Garamond"/>
          <w:lang w:val="en-CA"/>
        </w:rPr>
        <w:t xml:space="preserve"> introduction, </w:t>
      </w:r>
      <w:r w:rsidR="0088470F">
        <w:rPr>
          <w:rFonts w:ascii="Garamond" w:hAnsi="Garamond"/>
          <w:lang w:val="en-CA"/>
        </w:rPr>
        <w:t>he</w:t>
      </w:r>
      <w:r w:rsidRPr="00593FEB">
        <w:rPr>
          <w:rFonts w:ascii="Garamond" w:hAnsi="Garamond"/>
          <w:lang w:val="en-CA"/>
        </w:rPr>
        <w:t xml:space="preserve"> announces his intention to persuade scholars and educational professionals, while in his conclusions, he speaks directly to “researchers, principals, teachers, parents, students, and the average citizen” (p. 170). Surprisingly, Hlavacik is able to satisfy both of these audiences, but in distinctive ways. On the one hand, speaking as an expert and villainizing the blame</w:t>
      </w:r>
      <w:r w:rsidR="0088470F">
        <w:rPr>
          <w:rFonts w:ascii="Garamond" w:hAnsi="Garamond"/>
          <w:lang w:val="en-CA"/>
        </w:rPr>
        <w:t>rs</w:t>
      </w:r>
      <w:r w:rsidRPr="00593FEB">
        <w:rPr>
          <w:rFonts w:ascii="Garamond" w:hAnsi="Garamond"/>
          <w:lang w:val="en-CA"/>
        </w:rPr>
        <w:t>, Hlavacik may rally average citizens to view policy pushers with scrutiny, using blame as a persuasive technique. On the other hand, this text is a</w:t>
      </w:r>
      <w:r w:rsidR="0088470F">
        <w:rPr>
          <w:rFonts w:ascii="Garamond" w:hAnsi="Garamond"/>
          <w:lang w:val="en-CA"/>
        </w:rPr>
        <w:t>lso a</w:t>
      </w:r>
      <w:r w:rsidRPr="00593FEB">
        <w:rPr>
          <w:rFonts w:ascii="Garamond" w:hAnsi="Garamond"/>
          <w:lang w:val="en-CA"/>
        </w:rPr>
        <w:t xml:space="preserve"> valuable read for scholars and wide-ranging policy professionals, as it contains wealth of valuable knowledge and insight about the use of blame rhetoric in general. Hlavacik references Aristotle’s </w:t>
      </w:r>
      <w:r w:rsidRPr="00593FEB">
        <w:rPr>
          <w:rFonts w:ascii="Garamond" w:hAnsi="Garamond"/>
          <w:i/>
          <w:lang w:val="en-CA"/>
        </w:rPr>
        <w:t>Sophistical Refutations</w:t>
      </w:r>
      <w:r w:rsidRPr="00593FEB">
        <w:rPr>
          <w:rFonts w:ascii="Garamond" w:hAnsi="Garamond"/>
          <w:lang w:val="en-CA"/>
        </w:rPr>
        <w:t xml:space="preserve"> (deceivingly unsound arguments), and </w:t>
      </w:r>
      <w:r w:rsidRPr="00593FEB">
        <w:rPr>
          <w:rFonts w:ascii="Garamond" w:hAnsi="Garamond"/>
          <w:i/>
          <w:lang w:val="en-CA"/>
        </w:rPr>
        <w:t>Ad hominem</w:t>
      </w:r>
      <w:r w:rsidRPr="00593FEB">
        <w:rPr>
          <w:rFonts w:ascii="Garamond" w:hAnsi="Garamond"/>
          <w:lang w:val="en-CA"/>
        </w:rPr>
        <w:t xml:space="preserve"> (attacking the speaker instead of the argument), as well as sophist Gorgias of Leontini and his interpretation of rhetoric in his 6</w:t>
      </w:r>
      <w:r w:rsidRPr="00593FEB">
        <w:rPr>
          <w:rFonts w:ascii="Garamond" w:hAnsi="Garamond"/>
          <w:vertAlign w:val="superscript"/>
          <w:lang w:val="en-CA"/>
        </w:rPr>
        <w:t>th</w:t>
      </w:r>
      <w:r w:rsidRPr="00593FEB">
        <w:rPr>
          <w:rFonts w:ascii="Garamond" w:hAnsi="Garamond"/>
          <w:lang w:val="en-CA"/>
        </w:rPr>
        <w:t xml:space="preserve"> century BCE story, </w:t>
      </w:r>
      <w:r w:rsidRPr="00593FEB">
        <w:rPr>
          <w:rFonts w:ascii="Garamond" w:hAnsi="Garamond"/>
          <w:i/>
          <w:lang w:val="en-CA"/>
        </w:rPr>
        <w:t>Helen of Troy</w:t>
      </w:r>
      <w:r w:rsidR="00973938">
        <w:rPr>
          <w:rFonts w:ascii="Garamond" w:hAnsi="Garamond"/>
          <w:lang w:val="en-CA"/>
        </w:rPr>
        <w:t xml:space="preserve">. </w:t>
      </w:r>
      <w:bookmarkStart w:id="0" w:name="_GoBack"/>
      <w:bookmarkEnd w:id="0"/>
      <w:r w:rsidRPr="00593FEB">
        <w:rPr>
          <w:rFonts w:ascii="Garamond" w:hAnsi="Garamond"/>
          <w:lang w:val="en-CA"/>
        </w:rPr>
        <w:t xml:space="preserve">The author also teaches about the power of persuasion, referencing the NCLB act, the intense practice of scapegoating, and what he calls the “paradox of public blame”: </w:t>
      </w:r>
    </w:p>
    <w:p w14:paraId="5462E4A2" w14:textId="54CBB262" w:rsidR="00C67BD1" w:rsidRDefault="00C67BD1" w:rsidP="00CD3934">
      <w:pPr>
        <w:spacing w:line="240" w:lineRule="auto"/>
        <w:rPr>
          <w:rFonts w:ascii="Garamond" w:hAnsi="Garamond"/>
          <w:lang w:val="en-CA"/>
        </w:rPr>
      </w:pPr>
      <w:r>
        <w:rPr>
          <w:rFonts w:ascii="Garamond" w:hAnsi="Garamond"/>
          <w:lang w:val="en-CA"/>
        </w:rPr>
        <w:tab/>
      </w:r>
      <w:r w:rsidR="00CD3934" w:rsidRPr="00593FEB">
        <w:rPr>
          <w:rFonts w:ascii="Garamond" w:hAnsi="Garamond"/>
          <w:lang w:val="en-CA"/>
        </w:rPr>
        <w:t xml:space="preserve">On the one hand, public blame expresses and </w:t>
      </w:r>
      <w:r>
        <w:rPr>
          <w:rFonts w:ascii="Garamond" w:hAnsi="Garamond"/>
          <w:lang w:val="en-CA"/>
        </w:rPr>
        <w:tab/>
      </w:r>
      <w:r w:rsidR="00CD3934" w:rsidRPr="00593FEB">
        <w:rPr>
          <w:rFonts w:ascii="Garamond" w:hAnsi="Garamond"/>
          <w:lang w:val="en-CA"/>
        </w:rPr>
        <w:t xml:space="preserve">therefore relies upon a great deal of civic </w:t>
      </w:r>
      <w:r>
        <w:rPr>
          <w:rFonts w:ascii="Garamond" w:hAnsi="Garamond"/>
          <w:lang w:val="en-CA"/>
        </w:rPr>
        <w:tab/>
      </w:r>
      <w:r w:rsidR="00CD3934" w:rsidRPr="00593FEB">
        <w:rPr>
          <w:rFonts w:ascii="Garamond" w:hAnsi="Garamond"/>
          <w:lang w:val="en-CA"/>
        </w:rPr>
        <w:t xml:space="preserve">faith…on the other hand, public blame is </w:t>
      </w:r>
      <w:r>
        <w:rPr>
          <w:rFonts w:ascii="Garamond" w:hAnsi="Garamond"/>
          <w:lang w:val="en-CA"/>
        </w:rPr>
        <w:tab/>
      </w:r>
      <w:r w:rsidR="00CD3934" w:rsidRPr="00593FEB">
        <w:rPr>
          <w:rFonts w:ascii="Garamond" w:hAnsi="Garamond"/>
          <w:lang w:val="en-CA"/>
        </w:rPr>
        <w:t xml:space="preserve">often perceived as a sign that the deliberation </w:t>
      </w:r>
      <w:r>
        <w:rPr>
          <w:rFonts w:ascii="Garamond" w:hAnsi="Garamond"/>
          <w:lang w:val="en-CA"/>
        </w:rPr>
        <w:tab/>
      </w:r>
      <w:r w:rsidR="00CD3934" w:rsidRPr="00593FEB">
        <w:rPr>
          <w:rFonts w:ascii="Garamond" w:hAnsi="Garamond"/>
          <w:lang w:val="en-CA"/>
        </w:rPr>
        <w:t>in which i</w:t>
      </w:r>
      <w:r w:rsidR="00BD0E09">
        <w:rPr>
          <w:rFonts w:ascii="Garamond" w:hAnsi="Garamond"/>
          <w:lang w:val="en-CA"/>
        </w:rPr>
        <w:t xml:space="preserve">t appears has lost credibility </w:t>
      </w:r>
      <w:r w:rsidR="00CD3934" w:rsidRPr="00593FEB">
        <w:rPr>
          <w:rFonts w:ascii="Garamond" w:hAnsi="Garamond"/>
          <w:lang w:val="en-CA"/>
        </w:rPr>
        <w:t xml:space="preserve">(p. </w:t>
      </w:r>
      <w:r>
        <w:rPr>
          <w:rFonts w:ascii="Garamond" w:hAnsi="Garamond"/>
          <w:lang w:val="en-CA"/>
        </w:rPr>
        <w:tab/>
      </w:r>
      <w:r w:rsidR="00CD3934" w:rsidRPr="00593FEB">
        <w:rPr>
          <w:rFonts w:ascii="Garamond" w:hAnsi="Garamond"/>
          <w:lang w:val="en-CA"/>
        </w:rPr>
        <w:t xml:space="preserve">144). </w:t>
      </w:r>
    </w:p>
    <w:p w14:paraId="02FEC497" w14:textId="6011238F" w:rsidR="007E5303" w:rsidRDefault="00CD3934" w:rsidP="00CD3934">
      <w:pPr>
        <w:spacing w:line="240" w:lineRule="auto"/>
        <w:rPr>
          <w:rFonts w:ascii="Garamond" w:hAnsi="Garamond"/>
          <w:lang w:val="en-CA"/>
        </w:rPr>
      </w:pPr>
      <w:r w:rsidRPr="00593FEB">
        <w:rPr>
          <w:rFonts w:ascii="Garamond" w:hAnsi="Garamond"/>
          <w:lang w:val="en-CA"/>
        </w:rPr>
        <w:t xml:space="preserve">This knowledge can be used by scholars as critiquing, teaching and implementing tools. It </w:t>
      </w:r>
      <w:r w:rsidR="0088470F">
        <w:rPr>
          <w:rFonts w:ascii="Garamond" w:hAnsi="Garamond"/>
          <w:lang w:val="en-CA"/>
        </w:rPr>
        <w:t>might be</w:t>
      </w:r>
      <w:r w:rsidRPr="00593FEB">
        <w:rPr>
          <w:rFonts w:ascii="Garamond" w:hAnsi="Garamond"/>
          <w:lang w:val="en-CA"/>
        </w:rPr>
        <w:t xml:space="preserve"> valuable to policy makers seeking to learn how to rally support. Yet </w:t>
      </w:r>
      <w:r w:rsidRPr="00593FEB">
        <w:rPr>
          <w:rFonts w:ascii="Garamond" w:hAnsi="Garamond"/>
          <w:i/>
          <w:lang w:val="en-CA"/>
        </w:rPr>
        <w:t>Assigning Blame</w:t>
      </w:r>
      <w:r w:rsidRPr="00593FEB">
        <w:rPr>
          <w:rFonts w:ascii="Garamond" w:hAnsi="Garamond"/>
          <w:lang w:val="en-CA"/>
        </w:rPr>
        <w:t xml:space="preserve"> might also be viewed as a call to action for teachers, principals and average citizens to respond more critically to policy rhetoric. </w:t>
      </w:r>
      <w:r w:rsidR="007E5303">
        <w:rPr>
          <w:rFonts w:ascii="Garamond" w:hAnsi="Garamond"/>
          <w:lang w:val="en-CA"/>
        </w:rPr>
        <w:t xml:space="preserve">This is important because </w:t>
      </w:r>
      <w:r w:rsidR="005A3178">
        <w:rPr>
          <w:rFonts w:ascii="Garamond" w:hAnsi="Garamond"/>
          <w:lang w:val="en-CA"/>
        </w:rPr>
        <w:t xml:space="preserve">a </w:t>
      </w:r>
      <w:r w:rsidR="007E5303">
        <w:rPr>
          <w:rFonts w:ascii="Garamond" w:hAnsi="Garamond"/>
          <w:lang w:val="en-CA"/>
        </w:rPr>
        <w:t>critical societ</w:t>
      </w:r>
      <w:r w:rsidR="005A3178">
        <w:rPr>
          <w:rFonts w:ascii="Garamond" w:hAnsi="Garamond"/>
          <w:lang w:val="en-CA"/>
        </w:rPr>
        <w:t>y</w:t>
      </w:r>
      <w:r w:rsidR="007E5303">
        <w:rPr>
          <w:rFonts w:ascii="Garamond" w:hAnsi="Garamond"/>
          <w:lang w:val="en-CA"/>
        </w:rPr>
        <w:t xml:space="preserve"> </w:t>
      </w:r>
      <w:r w:rsidR="005A3178">
        <w:rPr>
          <w:rFonts w:ascii="Garamond" w:hAnsi="Garamond"/>
          <w:lang w:val="en-CA"/>
        </w:rPr>
        <w:t>may</w:t>
      </w:r>
      <w:r w:rsidR="007E5303">
        <w:rPr>
          <w:rFonts w:ascii="Garamond" w:hAnsi="Garamond"/>
          <w:lang w:val="en-CA"/>
        </w:rPr>
        <w:t xml:space="preserve"> demand more legitimate leadership. </w:t>
      </w:r>
    </w:p>
    <w:p w14:paraId="777F7663" w14:textId="1D358A0D" w:rsidR="007D4667" w:rsidRDefault="007E5303" w:rsidP="00CD3934">
      <w:pPr>
        <w:spacing w:line="240" w:lineRule="auto"/>
        <w:rPr>
          <w:rFonts w:ascii="Garamond" w:hAnsi="Garamond"/>
          <w:lang w:val="en-CA"/>
        </w:rPr>
      </w:pPr>
      <w:r>
        <w:rPr>
          <w:rFonts w:ascii="Garamond" w:hAnsi="Garamond"/>
          <w:lang w:val="en-CA"/>
        </w:rPr>
        <w:tab/>
      </w:r>
      <w:r w:rsidR="00CD3934" w:rsidRPr="00593FEB">
        <w:rPr>
          <w:rFonts w:ascii="Garamond" w:hAnsi="Garamond"/>
          <w:lang w:val="en-CA"/>
        </w:rPr>
        <w:t xml:space="preserve">In order to support his </w:t>
      </w:r>
      <w:r>
        <w:rPr>
          <w:rFonts w:ascii="Garamond" w:hAnsi="Garamond"/>
          <w:lang w:val="en-CA"/>
        </w:rPr>
        <w:t xml:space="preserve">blame </w:t>
      </w:r>
      <w:r w:rsidR="00CD3934" w:rsidRPr="00593FEB">
        <w:rPr>
          <w:rFonts w:ascii="Garamond" w:hAnsi="Garamond"/>
          <w:lang w:val="en-CA"/>
        </w:rPr>
        <w:t>theory, Hlavacik combines his analyses of modern day samples with the lessons of ancient philosophers such as Aristotle in a language that is both poetic and sophisticated. At times, this style is riveting. He uses metaphors to paint colourful scenes that bring policy talk to life, such as referring to blame as “reform’s discursive fountain of youth” (p.</w:t>
      </w:r>
      <w:r w:rsidR="007B307C">
        <w:rPr>
          <w:rFonts w:ascii="Garamond" w:hAnsi="Garamond"/>
          <w:lang w:val="en-CA"/>
        </w:rPr>
        <w:t xml:space="preserve"> </w:t>
      </w:r>
      <w:r w:rsidR="00CD3934" w:rsidRPr="00593FEB">
        <w:rPr>
          <w:rFonts w:ascii="Garamond" w:hAnsi="Garamond"/>
          <w:lang w:val="en-CA"/>
        </w:rPr>
        <w:t>17). However, Hlavacik</w:t>
      </w:r>
      <w:r w:rsidR="00884503">
        <w:rPr>
          <w:rFonts w:ascii="Garamond" w:hAnsi="Garamond"/>
          <w:lang w:val="en-CA"/>
        </w:rPr>
        <w:t>’s</w:t>
      </w:r>
      <w:r w:rsidR="00CD3934" w:rsidRPr="00593FEB">
        <w:rPr>
          <w:rFonts w:ascii="Garamond" w:hAnsi="Garamond"/>
          <w:lang w:val="en-CA"/>
        </w:rPr>
        <w:t xml:space="preserve"> complex verbi</w:t>
      </w:r>
      <w:r w:rsidR="00884503">
        <w:rPr>
          <w:rFonts w:ascii="Garamond" w:hAnsi="Garamond"/>
          <w:lang w:val="en-CA"/>
        </w:rPr>
        <w:t xml:space="preserve">age and word choice, </w:t>
      </w:r>
      <w:r w:rsidR="00CD3934" w:rsidRPr="00593FEB">
        <w:rPr>
          <w:rFonts w:ascii="Garamond" w:hAnsi="Garamond"/>
          <w:lang w:val="en-CA"/>
        </w:rPr>
        <w:t>more suited to scholars and philosophers,</w:t>
      </w:r>
      <w:r w:rsidR="00CD3934" w:rsidRPr="00593FEB" w:rsidDel="00383A3B">
        <w:rPr>
          <w:rFonts w:ascii="Garamond" w:hAnsi="Garamond"/>
          <w:lang w:val="en-CA"/>
        </w:rPr>
        <w:t xml:space="preserve"> </w:t>
      </w:r>
      <w:r w:rsidR="00CD3934" w:rsidRPr="00593FEB">
        <w:rPr>
          <w:rFonts w:ascii="Garamond" w:hAnsi="Garamond"/>
          <w:lang w:val="en-CA"/>
        </w:rPr>
        <w:t xml:space="preserve">arguably threatens his connection to </w:t>
      </w:r>
      <w:r w:rsidR="00884503">
        <w:rPr>
          <w:rFonts w:ascii="Garamond" w:hAnsi="Garamond"/>
          <w:lang w:val="en-CA"/>
        </w:rPr>
        <w:t>a general audience</w:t>
      </w:r>
      <w:r w:rsidR="00CD3934" w:rsidRPr="00593FEB">
        <w:rPr>
          <w:rFonts w:ascii="Garamond" w:hAnsi="Garamond"/>
          <w:lang w:val="en-CA"/>
        </w:rPr>
        <w:t>. While interpreting the host of PBS’s episode “What’s wrong with our schools?” Hlavacik writes:</w:t>
      </w:r>
      <w:r w:rsidR="007D4667">
        <w:rPr>
          <w:rFonts w:ascii="Garamond" w:hAnsi="Garamond"/>
          <w:lang w:val="en-CA"/>
        </w:rPr>
        <w:t xml:space="preserve"> </w:t>
      </w:r>
    </w:p>
    <w:p w14:paraId="1FA12073" w14:textId="77777777" w:rsidR="00F24B4D" w:rsidRDefault="007D4667" w:rsidP="00CD3934">
      <w:pPr>
        <w:spacing w:line="240" w:lineRule="auto"/>
        <w:rPr>
          <w:rFonts w:ascii="Garamond" w:hAnsi="Garamond"/>
          <w:lang w:val="en-CA"/>
        </w:rPr>
      </w:pPr>
      <w:r>
        <w:rPr>
          <w:rFonts w:ascii="Garamond" w:hAnsi="Garamond"/>
          <w:lang w:val="en-CA"/>
        </w:rPr>
        <w:tab/>
        <w:t>(a)</w:t>
      </w:r>
      <w:r w:rsidR="00CD3934" w:rsidRPr="00593FEB">
        <w:rPr>
          <w:rFonts w:ascii="Garamond" w:hAnsi="Garamond"/>
          <w:lang w:val="en-CA"/>
        </w:rPr>
        <w:t xml:space="preserve">lthough a dearth of enthusiastic </w:t>
      </w:r>
      <w:r>
        <w:rPr>
          <w:rFonts w:ascii="Garamond" w:hAnsi="Garamond"/>
          <w:lang w:val="en-CA"/>
        </w:rPr>
        <w:tab/>
      </w:r>
      <w:r w:rsidR="00CD3934" w:rsidRPr="00593FEB">
        <w:rPr>
          <w:rFonts w:ascii="Garamond" w:hAnsi="Garamond"/>
          <w:lang w:val="en-CA"/>
        </w:rPr>
        <w:t xml:space="preserve">scholasticism in the early morning of an </w:t>
      </w:r>
      <w:r>
        <w:rPr>
          <w:rFonts w:ascii="Garamond" w:hAnsi="Garamond"/>
          <w:lang w:val="en-CA"/>
        </w:rPr>
        <w:tab/>
      </w:r>
      <w:r w:rsidR="00CD3934" w:rsidRPr="00593FEB">
        <w:rPr>
          <w:rFonts w:ascii="Garamond" w:hAnsi="Garamond"/>
          <w:lang w:val="en-CA"/>
        </w:rPr>
        <w:t xml:space="preserve">average weekday might be understandable at </w:t>
      </w:r>
      <w:r>
        <w:rPr>
          <w:rFonts w:ascii="Garamond" w:hAnsi="Garamond"/>
          <w:lang w:val="en-CA"/>
        </w:rPr>
        <w:tab/>
      </w:r>
      <w:r w:rsidR="00CD3934" w:rsidRPr="00593FEB">
        <w:rPr>
          <w:rFonts w:ascii="Garamond" w:hAnsi="Garamond"/>
          <w:lang w:val="en-CA"/>
        </w:rPr>
        <w:t xml:space="preserve">any school, Friedman’s narration enlists the </w:t>
      </w:r>
      <w:r>
        <w:rPr>
          <w:rFonts w:ascii="Garamond" w:hAnsi="Garamond"/>
          <w:lang w:val="en-CA"/>
        </w:rPr>
        <w:lastRenderedPageBreak/>
        <w:tab/>
      </w:r>
      <w:r w:rsidR="00CD3934" w:rsidRPr="00593FEB">
        <w:rPr>
          <w:rFonts w:ascii="Garamond" w:hAnsi="Garamond"/>
          <w:lang w:val="en-CA"/>
        </w:rPr>
        <w:t xml:space="preserve">banality of the scene in his budding diatribe </w:t>
      </w:r>
      <w:r>
        <w:rPr>
          <w:rFonts w:ascii="Garamond" w:hAnsi="Garamond"/>
          <w:lang w:val="en-CA"/>
        </w:rPr>
        <w:tab/>
        <w:t>against bureaucracy</w:t>
      </w:r>
      <w:r w:rsidR="00CD3934" w:rsidRPr="00593FEB">
        <w:rPr>
          <w:rFonts w:ascii="Garamond" w:hAnsi="Garamond"/>
          <w:lang w:val="en-CA"/>
        </w:rPr>
        <w:t xml:space="preserve"> (p. 26). </w:t>
      </w:r>
    </w:p>
    <w:p w14:paraId="31DBE0C7" w14:textId="45EF66BA" w:rsidR="00CD3934" w:rsidRPr="00593FEB" w:rsidRDefault="00CD3934" w:rsidP="00CD3934">
      <w:pPr>
        <w:spacing w:line="240" w:lineRule="auto"/>
        <w:rPr>
          <w:rFonts w:ascii="Garamond" w:hAnsi="Garamond"/>
          <w:lang w:val="en-CA"/>
        </w:rPr>
      </w:pPr>
      <w:r w:rsidRPr="00593FEB">
        <w:rPr>
          <w:rFonts w:ascii="Garamond" w:hAnsi="Garamond"/>
          <w:lang w:val="en-CA"/>
        </w:rPr>
        <w:t>Overly sophisticated language may depict th</w:t>
      </w:r>
      <w:r w:rsidR="00884503">
        <w:rPr>
          <w:rFonts w:ascii="Garamond" w:hAnsi="Garamond"/>
          <w:lang w:val="en-CA"/>
        </w:rPr>
        <w:t xml:space="preserve">e author as less relatable and </w:t>
      </w:r>
      <w:r w:rsidRPr="00593FEB">
        <w:rPr>
          <w:rFonts w:ascii="Garamond" w:hAnsi="Garamond"/>
          <w:lang w:val="en-CA"/>
        </w:rPr>
        <w:t xml:space="preserve">perhaps </w:t>
      </w:r>
      <w:r w:rsidR="00884503">
        <w:rPr>
          <w:rFonts w:ascii="Garamond" w:hAnsi="Garamond"/>
          <w:lang w:val="en-CA"/>
        </w:rPr>
        <w:t>distance himself from the audience.</w:t>
      </w:r>
    </w:p>
    <w:p w14:paraId="5B4B0EAE" w14:textId="2162E106" w:rsidR="00CD3934" w:rsidRPr="00593FEB" w:rsidRDefault="00CD3934" w:rsidP="00CD3934">
      <w:pPr>
        <w:spacing w:line="240" w:lineRule="auto"/>
        <w:rPr>
          <w:rFonts w:ascii="Garamond" w:hAnsi="Garamond"/>
          <w:lang w:val="en-CA"/>
        </w:rPr>
      </w:pPr>
      <w:r w:rsidRPr="00593FEB">
        <w:rPr>
          <w:rFonts w:ascii="Garamond" w:hAnsi="Garamond"/>
          <w:lang w:val="en-CA"/>
        </w:rPr>
        <w:tab/>
        <w:t xml:space="preserve">In order to prove that public blame is </w:t>
      </w:r>
      <w:r w:rsidR="00950A86">
        <w:rPr>
          <w:rFonts w:ascii="Garamond" w:hAnsi="Garamond"/>
          <w:lang w:val="en-CA"/>
        </w:rPr>
        <w:t>both intentional and necessary</w:t>
      </w:r>
      <w:r w:rsidRPr="00593FEB">
        <w:rPr>
          <w:rFonts w:ascii="Garamond" w:hAnsi="Garamond"/>
          <w:lang w:val="en-CA"/>
        </w:rPr>
        <w:t xml:space="preserve"> to convince people to support policy change, Hlavacik scrutinizes Freidman’s, Kozol’s, and Ravitch’s words and actions as well as challenges the motives of the NCLB act and the NCEE. He does this by thoroughly investigating each theory, then interjecting</w:t>
      </w:r>
      <w:r w:rsidR="00884503">
        <w:rPr>
          <w:rFonts w:ascii="Garamond" w:hAnsi="Garamond"/>
          <w:lang w:val="en-CA"/>
        </w:rPr>
        <w:t xml:space="preserve"> personal and evaluative analysi</w:t>
      </w:r>
      <w:r w:rsidRPr="00593FEB">
        <w:rPr>
          <w:rFonts w:ascii="Garamond" w:hAnsi="Garamond"/>
          <w:lang w:val="en-CA"/>
        </w:rPr>
        <w:t xml:space="preserve">s. By positioning himself as an expert in the field, Hlavacik makes a persuasive plea to his “average citizens” audience. For example, in his investigation of Milton Freidman’s radio talk show, Hlavacik suggests that the host used pronouns </w:t>
      </w:r>
      <w:r w:rsidR="00884503" w:rsidRPr="00593FEB">
        <w:rPr>
          <w:rFonts w:ascii="Garamond" w:hAnsi="Garamond"/>
          <w:lang w:val="en-CA"/>
        </w:rPr>
        <w:t xml:space="preserve">deliberately </w:t>
      </w:r>
      <w:r w:rsidRPr="00593FEB">
        <w:rPr>
          <w:rFonts w:ascii="Garamond" w:hAnsi="Garamond"/>
          <w:lang w:val="en-CA"/>
        </w:rPr>
        <w:t xml:space="preserve">to lay blame. “Whatever group Gee meant to enlist, Freidman, as narrator ensures that ‘we’ reinforces a universal opposition between bureaucrats and parents” (p. 31). The author combs through the pleas of the National Commission of Excellence in Education, Johnathan Rozol, Diane Ravitch and those who initiated No Child Left Behind policies with equal reflection. He suggests that Ravitch tactically excused herself from previously supporting NCLB by branding it as a “deceptive law (p. 129)”.  On the other end, Hlavacik claims that through measures such as standardized testing and teacher accountability, NCLB not only blamed educators but scapegoated them, </w:t>
      </w:r>
      <w:r w:rsidR="007E5303" w:rsidRPr="00593FEB">
        <w:rPr>
          <w:rFonts w:ascii="Garamond" w:hAnsi="Garamond"/>
          <w:lang w:val="en-CA"/>
        </w:rPr>
        <w:t>engaging</w:t>
      </w:r>
      <w:r w:rsidRPr="00593FEB">
        <w:rPr>
          <w:rFonts w:ascii="Garamond" w:hAnsi="Garamond"/>
          <w:lang w:val="en-CA"/>
        </w:rPr>
        <w:t xml:space="preserve"> </w:t>
      </w:r>
      <w:r w:rsidR="007E5303">
        <w:rPr>
          <w:rFonts w:ascii="Garamond" w:hAnsi="Garamond"/>
          <w:lang w:val="en-CA"/>
        </w:rPr>
        <w:t xml:space="preserve">in </w:t>
      </w:r>
      <w:r w:rsidRPr="00593FEB">
        <w:rPr>
          <w:rFonts w:ascii="Garamond" w:hAnsi="Garamond"/>
          <w:lang w:val="en-CA"/>
        </w:rPr>
        <w:t xml:space="preserve">what he calls, “ritualized public blaming”.  </w:t>
      </w:r>
    </w:p>
    <w:p w14:paraId="5FB1B31D" w14:textId="7EDD9160" w:rsidR="00F24B4D" w:rsidRDefault="00CD3934" w:rsidP="00CD3934">
      <w:pPr>
        <w:spacing w:line="240" w:lineRule="auto"/>
        <w:rPr>
          <w:rFonts w:ascii="Garamond" w:hAnsi="Garamond"/>
          <w:lang w:val="en-CA"/>
        </w:rPr>
      </w:pPr>
      <w:r w:rsidRPr="00593FEB">
        <w:rPr>
          <w:rFonts w:ascii="Garamond" w:hAnsi="Garamond"/>
          <w:lang w:val="en-CA"/>
        </w:rPr>
        <w:tab/>
      </w:r>
      <w:r w:rsidRPr="00593FEB">
        <w:rPr>
          <w:rFonts w:ascii="Garamond" w:hAnsi="Garamond"/>
          <w:i/>
          <w:lang w:val="en-CA"/>
        </w:rPr>
        <w:t>Assigning Blame</w:t>
      </w:r>
      <w:r w:rsidRPr="00593FEB">
        <w:rPr>
          <w:rFonts w:ascii="Garamond" w:hAnsi="Garamond"/>
          <w:lang w:val="en-CA"/>
        </w:rPr>
        <w:t>, m</w:t>
      </w:r>
      <w:r w:rsidR="00884503">
        <w:rPr>
          <w:rFonts w:ascii="Garamond" w:hAnsi="Garamond"/>
          <w:lang w:val="en-CA"/>
        </w:rPr>
        <w:t>aintains that each theorist used</w:t>
      </w:r>
      <w:r w:rsidRPr="00593FEB">
        <w:rPr>
          <w:rFonts w:ascii="Garamond" w:hAnsi="Garamond"/>
          <w:lang w:val="en-CA"/>
        </w:rPr>
        <w:t xml:space="preserve"> blame, rhetoric, and in extreme cases, scapegoating, in order to support change. It also alludes to </w:t>
      </w:r>
      <w:r w:rsidR="00884503">
        <w:rPr>
          <w:rFonts w:ascii="Garamond" w:hAnsi="Garamond"/>
          <w:lang w:val="en-CA"/>
        </w:rPr>
        <w:t xml:space="preserve">other </w:t>
      </w:r>
      <w:r w:rsidRPr="00593FEB">
        <w:rPr>
          <w:rFonts w:ascii="Garamond" w:hAnsi="Garamond"/>
          <w:lang w:val="en-CA"/>
        </w:rPr>
        <w:t xml:space="preserve">important components in each argument, such as fear, without adequately acknowledging their impact. For example, in the case of Kozol’s depiction of East St Louis and the need for desegregation, Hlavacik suggests that Kozol attempts to rally support through the use of fear. Emphasizing a disturbing section of Kozol’s book, </w:t>
      </w:r>
      <w:r w:rsidRPr="00593FEB">
        <w:rPr>
          <w:rFonts w:ascii="Garamond" w:hAnsi="Garamond"/>
          <w:i/>
          <w:lang w:val="en-CA"/>
        </w:rPr>
        <w:t xml:space="preserve">Savage Inequalities </w:t>
      </w:r>
      <w:r w:rsidRPr="00593FEB">
        <w:rPr>
          <w:rFonts w:ascii="Garamond" w:hAnsi="Garamond"/>
          <w:lang w:val="en-CA"/>
        </w:rPr>
        <w:t xml:space="preserve">(1988), Hlavacik reminds the reader that </w:t>
      </w:r>
    </w:p>
    <w:p w14:paraId="2B7AFAE8" w14:textId="5C209F2F" w:rsidR="00F24B4D" w:rsidRDefault="00F24B4D" w:rsidP="00CD3934">
      <w:pPr>
        <w:spacing w:line="240" w:lineRule="auto"/>
        <w:rPr>
          <w:rFonts w:ascii="Garamond" w:hAnsi="Garamond"/>
          <w:lang w:val="en-CA"/>
        </w:rPr>
      </w:pPr>
      <w:r>
        <w:rPr>
          <w:rFonts w:ascii="Garamond" w:hAnsi="Garamond"/>
          <w:lang w:val="en-CA"/>
        </w:rPr>
        <w:tab/>
      </w:r>
      <w:r w:rsidR="00CD3934" w:rsidRPr="00593FEB">
        <w:rPr>
          <w:rFonts w:ascii="Garamond" w:hAnsi="Garamond"/>
          <w:lang w:val="en-CA"/>
        </w:rPr>
        <w:t xml:space="preserve">Serena’s story is shocking evidence of the </w:t>
      </w:r>
      <w:r>
        <w:rPr>
          <w:rFonts w:ascii="Garamond" w:hAnsi="Garamond"/>
          <w:lang w:val="en-CA"/>
        </w:rPr>
        <w:tab/>
      </w:r>
      <w:r w:rsidR="00CD3934" w:rsidRPr="00593FEB">
        <w:rPr>
          <w:rFonts w:ascii="Garamond" w:hAnsi="Garamond"/>
          <w:lang w:val="en-CA"/>
        </w:rPr>
        <w:t xml:space="preserve">violence and desperation of life in East St. </w:t>
      </w:r>
      <w:r>
        <w:rPr>
          <w:rFonts w:ascii="Garamond" w:hAnsi="Garamond"/>
          <w:lang w:val="en-CA"/>
        </w:rPr>
        <w:tab/>
      </w:r>
      <w:r w:rsidR="00CD3934" w:rsidRPr="00593FEB">
        <w:rPr>
          <w:rFonts w:ascii="Garamond" w:hAnsi="Garamond"/>
          <w:lang w:val="en-CA"/>
        </w:rPr>
        <w:t xml:space="preserve">Louis, but also a stark warning about the </w:t>
      </w:r>
      <w:r>
        <w:rPr>
          <w:rFonts w:ascii="Garamond" w:hAnsi="Garamond"/>
          <w:lang w:val="en-CA"/>
        </w:rPr>
        <w:tab/>
      </w:r>
      <w:r>
        <w:rPr>
          <w:rFonts w:ascii="Garamond" w:hAnsi="Garamond"/>
          <w:lang w:val="en-CA"/>
        </w:rPr>
        <w:tab/>
      </w:r>
      <w:r w:rsidR="00CD3934" w:rsidRPr="00593FEB">
        <w:rPr>
          <w:rFonts w:ascii="Garamond" w:hAnsi="Garamond"/>
          <w:lang w:val="en-CA"/>
        </w:rPr>
        <w:t xml:space="preserve">dangers that integrating children would face </w:t>
      </w:r>
      <w:r>
        <w:rPr>
          <w:rFonts w:ascii="Garamond" w:hAnsi="Garamond"/>
          <w:lang w:val="en-CA"/>
        </w:rPr>
        <w:tab/>
      </w:r>
      <w:r w:rsidR="00CD3934" w:rsidRPr="00593FEB">
        <w:rPr>
          <w:rFonts w:ascii="Garamond" w:hAnsi="Garamond"/>
          <w:lang w:val="en-CA"/>
        </w:rPr>
        <w:t xml:space="preserve">(p. 90). </w:t>
      </w:r>
    </w:p>
    <w:p w14:paraId="697F01A0" w14:textId="784025C0" w:rsidR="00CD3934" w:rsidRPr="00593FEB" w:rsidRDefault="00884503" w:rsidP="00CD3934">
      <w:pPr>
        <w:spacing w:line="240" w:lineRule="auto"/>
        <w:rPr>
          <w:rFonts w:ascii="Garamond" w:hAnsi="Garamond"/>
          <w:lang w:val="en-CA"/>
        </w:rPr>
      </w:pPr>
      <w:r>
        <w:rPr>
          <w:rFonts w:ascii="Garamond" w:hAnsi="Garamond"/>
          <w:lang w:val="en-CA"/>
        </w:rPr>
        <w:t>He</w:t>
      </w:r>
      <w:r w:rsidR="00CD3934" w:rsidRPr="00593FEB">
        <w:rPr>
          <w:rFonts w:ascii="Garamond" w:hAnsi="Garamond"/>
          <w:lang w:val="en-CA"/>
        </w:rPr>
        <w:t xml:space="preserve"> does not extrapolate about the impact of this approach, which is perhaps as prominent </w:t>
      </w:r>
      <w:r>
        <w:rPr>
          <w:rFonts w:ascii="Garamond" w:hAnsi="Garamond"/>
          <w:lang w:val="en-CA"/>
        </w:rPr>
        <w:t>in</w:t>
      </w:r>
      <w:r w:rsidR="00CD3934" w:rsidRPr="00593FEB">
        <w:rPr>
          <w:rFonts w:ascii="Garamond" w:hAnsi="Garamond"/>
          <w:lang w:val="en-CA"/>
        </w:rPr>
        <w:t xml:space="preserve"> his </w:t>
      </w:r>
      <w:r>
        <w:rPr>
          <w:rFonts w:ascii="Garamond" w:hAnsi="Garamond"/>
          <w:lang w:val="en-CA"/>
        </w:rPr>
        <w:t>argument as</w:t>
      </w:r>
      <w:r w:rsidR="00CD3934" w:rsidRPr="00593FEB">
        <w:rPr>
          <w:rFonts w:ascii="Garamond" w:hAnsi="Garamond"/>
          <w:lang w:val="en-CA"/>
        </w:rPr>
        <w:t xml:space="preserve"> blame. Similarly, the NCEE’s study, </w:t>
      </w:r>
      <w:r w:rsidR="00CD3934" w:rsidRPr="00593FEB">
        <w:rPr>
          <w:rFonts w:ascii="Garamond" w:hAnsi="Garamond"/>
          <w:i/>
          <w:lang w:val="en-CA"/>
        </w:rPr>
        <w:t>A Nation at Risk</w:t>
      </w:r>
      <w:r w:rsidR="00CD3934" w:rsidRPr="00593FEB">
        <w:rPr>
          <w:rFonts w:ascii="Garamond" w:hAnsi="Garamond"/>
          <w:lang w:val="en-CA"/>
        </w:rPr>
        <w:t xml:space="preserve">, presents an alarmingly stark depiction of the school system, yet the author solely recognizes NCEE’s use of blame, and not fear, as an influential </w:t>
      </w:r>
      <w:r w:rsidR="00CD3934" w:rsidRPr="00593FEB">
        <w:rPr>
          <w:rFonts w:ascii="Garamond" w:hAnsi="Garamond"/>
          <w:lang w:val="en-CA"/>
        </w:rPr>
        <w:lastRenderedPageBreak/>
        <w:t>tactic. A more complete analysis would include a discussion of fear mongering and its potentially harmful effects</w:t>
      </w:r>
      <w:r w:rsidR="007E6DE4">
        <w:rPr>
          <w:rFonts w:ascii="Garamond" w:hAnsi="Garamond"/>
          <w:lang w:val="en-CA"/>
        </w:rPr>
        <w:t xml:space="preserve">. </w:t>
      </w:r>
    </w:p>
    <w:p w14:paraId="486E3DDA" w14:textId="3C008B78" w:rsidR="00CD3934" w:rsidRPr="00593FEB" w:rsidRDefault="00CD3934" w:rsidP="00CD3934">
      <w:pPr>
        <w:spacing w:line="240" w:lineRule="auto"/>
        <w:rPr>
          <w:rFonts w:ascii="Garamond" w:hAnsi="Garamond"/>
          <w:lang w:val="en-CA"/>
        </w:rPr>
      </w:pPr>
      <w:r w:rsidRPr="00593FEB">
        <w:rPr>
          <w:rFonts w:ascii="Garamond" w:hAnsi="Garamond"/>
          <w:lang w:val="en-CA"/>
        </w:rPr>
        <w:tab/>
        <w:t xml:space="preserve">Overall, </w:t>
      </w:r>
      <w:r w:rsidRPr="00593FEB">
        <w:rPr>
          <w:rFonts w:ascii="Garamond" w:hAnsi="Garamond"/>
          <w:i/>
          <w:lang w:val="en-CA"/>
        </w:rPr>
        <w:t>Assigning Blame: The Rhetoric of Educational Reform</w:t>
      </w:r>
      <w:r w:rsidRPr="00593FEB">
        <w:rPr>
          <w:rFonts w:ascii="Garamond" w:hAnsi="Garamond"/>
          <w:lang w:val="en-CA"/>
        </w:rPr>
        <w:t>,</w:t>
      </w:r>
      <w:r w:rsidRPr="00593FEB">
        <w:rPr>
          <w:rFonts w:ascii="Garamond" w:hAnsi="Garamond"/>
          <w:i/>
          <w:lang w:val="en-CA"/>
        </w:rPr>
        <w:t xml:space="preserve"> </w:t>
      </w:r>
      <w:r w:rsidRPr="00593FEB">
        <w:rPr>
          <w:rFonts w:ascii="Garamond" w:hAnsi="Garamond"/>
          <w:lang w:val="en-CA"/>
        </w:rPr>
        <w:t xml:space="preserve">is </w:t>
      </w:r>
      <w:r w:rsidR="007E6DE4">
        <w:rPr>
          <w:rFonts w:ascii="Garamond" w:hAnsi="Garamond"/>
          <w:lang w:val="en-CA"/>
        </w:rPr>
        <w:t>aligned with other</w:t>
      </w:r>
      <w:r w:rsidRPr="00593FEB">
        <w:rPr>
          <w:rFonts w:ascii="Garamond" w:hAnsi="Garamond"/>
          <w:lang w:val="en-CA"/>
        </w:rPr>
        <w:t xml:space="preserve"> </w:t>
      </w:r>
      <w:r w:rsidR="007E6DE4">
        <w:rPr>
          <w:rFonts w:ascii="Garamond" w:hAnsi="Garamond"/>
          <w:lang w:val="en-CA"/>
        </w:rPr>
        <w:t>texts</w:t>
      </w:r>
      <w:r w:rsidRPr="00593FEB">
        <w:rPr>
          <w:rFonts w:ascii="Garamond" w:hAnsi="Garamond"/>
          <w:lang w:val="en-CA"/>
        </w:rPr>
        <w:t xml:space="preserve"> that outline the way in which public blame and rhetoric have historically impacted policy discourse. In her book, </w:t>
      </w:r>
      <w:r w:rsidRPr="00593FEB">
        <w:rPr>
          <w:rFonts w:ascii="Garamond" w:hAnsi="Garamond"/>
          <w:i/>
          <w:lang w:val="en-CA"/>
        </w:rPr>
        <w:t>The Policy Paradox</w:t>
      </w:r>
      <w:r w:rsidRPr="00593FEB">
        <w:rPr>
          <w:rFonts w:ascii="Garamond" w:hAnsi="Garamond"/>
          <w:lang w:val="en-CA"/>
        </w:rPr>
        <w:t xml:space="preserve"> (2011), Deborah Stone identifies similar political persuasions through the use of irony and language. Like Hlavacik, Stone warns readers to be cautious of rhetoric, and both authors urge civilians to be critical about how they interpret reform. Hlavacik emphasizes the use of blame as a motivating factor for policy change. However, the</w:t>
      </w:r>
      <w:r w:rsidRPr="00593FEB">
        <w:rPr>
          <w:rFonts w:ascii="Garamond" w:hAnsi="Garamond"/>
        </w:rPr>
        <w:t xml:space="preserve"> author’s argument may be more complete if he examined and addressed the </w:t>
      </w:r>
      <w:r w:rsidRPr="00593FEB">
        <w:rPr>
          <w:rFonts w:ascii="Garamond" w:hAnsi="Garamond"/>
        </w:rPr>
        <w:lastRenderedPageBreak/>
        <w:t>intricate ways in which public opinion informs political action</w:t>
      </w:r>
      <w:r w:rsidRPr="00593FEB">
        <w:rPr>
          <w:rFonts w:ascii="Garamond" w:hAnsi="Garamond"/>
          <w:lang w:val="en-CA"/>
        </w:rPr>
        <w:t>. Nevertheless, in this solid lesson on the history and art of public blaming</w:t>
      </w:r>
      <w:r w:rsidR="00B54D31">
        <w:rPr>
          <w:rFonts w:ascii="Garamond" w:hAnsi="Garamond"/>
          <w:lang w:val="en-CA"/>
        </w:rPr>
        <w:t>,</w:t>
      </w:r>
      <w:r w:rsidRPr="00593FEB">
        <w:rPr>
          <w:rFonts w:ascii="Garamond" w:hAnsi="Garamond"/>
          <w:lang w:val="en-CA"/>
        </w:rPr>
        <w:t xml:space="preserve"> Hlavacik tells a unique and cautionary tale that warns teachers, principals and average citizens to be weary of policy rhetoric and to critically analyze the information that they </w:t>
      </w:r>
      <w:r w:rsidR="00E226EE">
        <w:rPr>
          <w:rFonts w:ascii="Garamond" w:hAnsi="Garamond"/>
          <w:lang w:val="en-CA"/>
        </w:rPr>
        <w:t>receive</w:t>
      </w:r>
      <w:r w:rsidRPr="00593FEB">
        <w:rPr>
          <w:rFonts w:ascii="Garamond" w:hAnsi="Garamond"/>
          <w:lang w:val="en-CA"/>
        </w:rPr>
        <w:t xml:space="preserve">.  </w:t>
      </w:r>
    </w:p>
    <w:p w14:paraId="5AAA1C8C" w14:textId="77777777" w:rsidR="00EB7A2F" w:rsidRDefault="00EB7A2F" w:rsidP="00EB7A2F">
      <w:pPr>
        <w:spacing w:after="0" w:line="240" w:lineRule="auto"/>
        <w:rPr>
          <w:rFonts w:ascii="Garamond" w:hAnsi="Garamond"/>
          <w:spacing w:val="4"/>
          <w:sz w:val="24"/>
          <w:szCs w:val="24"/>
          <w:highlight w:val="yellow"/>
        </w:rPr>
      </w:pPr>
    </w:p>
    <w:p w14:paraId="4B161F6B" w14:textId="77777777" w:rsidR="00EB7A2F" w:rsidRDefault="00EB7A2F" w:rsidP="00EB7A2F">
      <w:pPr>
        <w:spacing w:after="0" w:line="240" w:lineRule="auto"/>
        <w:rPr>
          <w:rFonts w:ascii="Garamond" w:hAnsi="Garamond"/>
          <w:spacing w:val="4"/>
          <w:sz w:val="24"/>
          <w:szCs w:val="24"/>
          <w:highlight w:val="yellow"/>
        </w:rPr>
      </w:pPr>
    </w:p>
    <w:p w14:paraId="2AC02FAD" w14:textId="77777777" w:rsidR="00EB7A2F" w:rsidRDefault="00EB7A2F" w:rsidP="00EB7A2F">
      <w:pPr>
        <w:spacing w:after="0" w:line="240" w:lineRule="auto"/>
        <w:rPr>
          <w:rFonts w:ascii="Garamond" w:hAnsi="Garamond"/>
          <w:spacing w:val="4"/>
          <w:sz w:val="24"/>
          <w:szCs w:val="24"/>
          <w:highlight w:val="yellow"/>
        </w:rPr>
      </w:pPr>
    </w:p>
    <w:p w14:paraId="29F1D797" w14:textId="77777777" w:rsidR="00EB7A2F" w:rsidRDefault="00EB7A2F" w:rsidP="00EB7A2F">
      <w:pPr>
        <w:spacing w:after="0" w:line="240" w:lineRule="auto"/>
        <w:rPr>
          <w:rFonts w:ascii="Garamond" w:hAnsi="Garamond"/>
          <w:spacing w:val="4"/>
          <w:sz w:val="24"/>
          <w:szCs w:val="24"/>
          <w:highlight w:val="yellow"/>
        </w:rPr>
      </w:pPr>
    </w:p>
    <w:p w14:paraId="3DE88A3B" w14:textId="3EBBDFFA" w:rsidR="00EB7A2F" w:rsidRDefault="00EB7A2F" w:rsidP="00EB7A2F">
      <w:pPr>
        <w:spacing w:after="0" w:line="240" w:lineRule="auto"/>
        <w:rPr>
          <w:rFonts w:ascii="Garamond" w:hAnsi="Garamond"/>
          <w:spacing w:val="4"/>
          <w:sz w:val="24"/>
          <w:szCs w:val="24"/>
          <w:highlight w:val="yellow"/>
        </w:rPr>
      </w:pPr>
    </w:p>
    <w:p w14:paraId="1D0BD320" w14:textId="1EE4C118" w:rsidR="00EB7A2F" w:rsidRDefault="00EB7A2F" w:rsidP="00EB7A2F">
      <w:pPr>
        <w:spacing w:after="0" w:line="240" w:lineRule="auto"/>
        <w:rPr>
          <w:rFonts w:ascii="Garamond" w:hAnsi="Garamond"/>
          <w:spacing w:val="4"/>
          <w:sz w:val="24"/>
          <w:szCs w:val="24"/>
          <w:highlight w:val="yellow"/>
        </w:rPr>
      </w:pPr>
    </w:p>
    <w:p w14:paraId="5527D382" w14:textId="77777777" w:rsidR="00EB7A2F" w:rsidRDefault="00EB7A2F" w:rsidP="00EB7A2F">
      <w:pPr>
        <w:spacing w:after="0" w:line="240" w:lineRule="auto"/>
        <w:rPr>
          <w:rFonts w:ascii="Garamond" w:hAnsi="Garamond"/>
          <w:spacing w:val="4"/>
          <w:sz w:val="24"/>
          <w:szCs w:val="24"/>
          <w:highlight w:val="yellow"/>
        </w:rPr>
      </w:pPr>
    </w:p>
    <w:p w14:paraId="74F6A088" w14:textId="77777777" w:rsidR="0037358C" w:rsidRDefault="0037358C" w:rsidP="00EB7A2F">
      <w:pPr>
        <w:spacing w:after="0" w:line="240" w:lineRule="auto"/>
        <w:rPr>
          <w:rFonts w:ascii="Garamond" w:hAnsi="Garamond"/>
          <w:spacing w:val="4"/>
          <w:sz w:val="24"/>
          <w:szCs w:val="24"/>
          <w:highlight w:val="yellow"/>
        </w:rPr>
        <w:sectPr w:rsidR="0037358C" w:rsidSect="00EB7A2F">
          <w:type w:val="continuous"/>
          <w:pgSz w:w="12240" w:h="15840"/>
          <w:pgMar w:top="1440" w:right="1350" w:bottom="1440" w:left="1440" w:header="720" w:footer="720" w:gutter="0"/>
          <w:cols w:num="2" w:space="720"/>
          <w:titlePg/>
          <w:docGrid w:linePitch="600" w:charSpace="36864"/>
        </w:sectPr>
      </w:pPr>
    </w:p>
    <w:p w14:paraId="4C3F3E9B" w14:textId="77777777" w:rsidR="0037358C" w:rsidRDefault="0037358C" w:rsidP="00EB7A2F">
      <w:pPr>
        <w:spacing w:after="0" w:line="240" w:lineRule="auto"/>
        <w:rPr>
          <w:rFonts w:ascii="Garamond" w:hAnsi="Garamond"/>
          <w:spacing w:val="4"/>
          <w:sz w:val="24"/>
          <w:szCs w:val="24"/>
          <w:highlight w:val="yellow"/>
        </w:rPr>
        <w:sectPr w:rsidR="0037358C" w:rsidSect="00EB7A2F">
          <w:type w:val="continuous"/>
          <w:pgSz w:w="12240" w:h="15840"/>
          <w:pgMar w:top="1440" w:right="1350" w:bottom="1440" w:left="1440" w:header="720" w:footer="720" w:gutter="0"/>
          <w:cols w:space="720"/>
          <w:titlePg/>
          <w:docGrid w:linePitch="600" w:charSpace="36864"/>
        </w:sectPr>
      </w:pPr>
    </w:p>
    <w:p w14:paraId="259B928F" w14:textId="77777777" w:rsidR="0037358C" w:rsidRDefault="0037358C" w:rsidP="00EB7A2F">
      <w:pPr>
        <w:spacing w:after="0" w:line="240" w:lineRule="auto"/>
        <w:rPr>
          <w:rFonts w:ascii="Garamond" w:hAnsi="Garamond"/>
          <w:spacing w:val="4"/>
          <w:sz w:val="24"/>
          <w:szCs w:val="24"/>
          <w:highlight w:val="yellow"/>
        </w:rPr>
        <w:sectPr w:rsidR="0037358C" w:rsidSect="0037358C">
          <w:type w:val="continuous"/>
          <w:pgSz w:w="12240" w:h="15840"/>
          <w:pgMar w:top="1440" w:right="1350" w:bottom="1440" w:left="1440" w:header="720" w:footer="720" w:gutter="0"/>
          <w:cols w:num="2" w:space="720"/>
          <w:titlePg/>
          <w:docGrid w:linePitch="600" w:charSpace="36864"/>
        </w:sectPr>
      </w:pPr>
    </w:p>
    <w:p w14:paraId="46D9A27E" w14:textId="263B86DA" w:rsidR="00097207" w:rsidRDefault="00CB6FEC" w:rsidP="00483173">
      <w:pPr>
        <w:spacing w:after="0" w:line="240" w:lineRule="auto"/>
        <w:rPr>
          <w:rFonts w:ascii="Garamond" w:hAnsi="Garamond"/>
          <w:b/>
          <w:sz w:val="24"/>
          <w:szCs w:val="24"/>
        </w:rPr>
      </w:pPr>
      <w:r>
        <w:rPr>
          <w:rFonts w:ascii="Garamond" w:hAnsi="Garamond"/>
          <w:b/>
          <w:sz w:val="24"/>
          <w:szCs w:val="24"/>
        </w:rPr>
        <w:lastRenderedPageBreak/>
        <w:pict w14:anchorId="54B1332F">
          <v:rect id="_x0000_i1025" style="width:0;height:1.5pt" o:hralign="center" o:hrstd="t" o:hr="t" fillcolor="#a0a0a0" stroked="f"/>
        </w:pict>
      </w:r>
    </w:p>
    <w:p w14:paraId="114E89AA" w14:textId="1D9060AE" w:rsidR="00C07F82" w:rsidRDefault="00C07F82" w:rsidP="00483173">
      <w:pPr>
        <w:spacing w:after="0" w:line="240" w:lineRule="auto"/>
        <w:rPr>
          <w:rFonts w:ascii="Garamond" w:hAnsi="Garamond"/>
          <w:b/>
          <w:sz w:val="24"/>
          <w:szCs w:val="24"/>
        </w:rPr>
      </w:pPr>
      <w:r w:rsidRPr="00EB7A2F">
        <w:rPr>
          <w:rFonts w:ascii="Garamond" w:hAnsi="Garamond"/>
          <w:b/>
          <w:sz w:val="24"/>
          <w:szCs w:val="24"/>
        </w:rPr>
        <w:t>References</w:t>
      </w:r>
      <w:r w:rsidR="00097207">
        <w:rPr>
          <w:rFonts w:ascii="Garamond" w:hAnsi="Garamond"/>
          <w:b/>
          <w:sz w:val="24"/>
          <w:szCs w:val="24"/>
        </w:rPr>
        <w:t xml:space="preserve"> </w:t>
      </w:r>
    </w:p>
    <w:p w14:paraId="27F7CCA7" w14:textId="77777777" w:rsidR="00D80FD9" w:rsidRPr="00EB7A2F" w:rsidRDefault="00D80FD9" w:rsidP="00483173">
      <w:pPr>
        <w:spacing w:after="0" w:line="240" w:lineRule="auto"/>
        <w:rPr>
          <w:rFonts w:ascii="Garamond" w:hAnsi="Garamond"/>
          <w:b/>
          <w:sz w:val="24"/>
          <w:szCs w:val="24"/>
        </w:rPr>
      </w:pPr>
    </w:p>
    <w:p w14:paraId="0C08BAEE" w14:textId="0B0C5BB1" w:rsidR="001375A4" w:rsidRPr="001375A4" w:rsidRDefault="001375A4" w:rsidP="001375A4">
      <w:pPr>
        <w:spacing w:line="240" w:lineRule="auto"/>
        <w:rPr>
          <w:rFonts w:ascii="Garamond" w:hAnsi="Garamond"/>
          <w:color w:val="000000" w:themeColor="text1"/>
          <w:lang w:val="en-CA"/>
        </w:rPr>
      </w:pPr>
      <w:r w:rsidRPr="00593FEB">
        <w:rPr>
          <w:rFonts w:ascii="Garamond" w:hAnsi="Garamond"/>
          <w:color w:val="000000" w:themeColor="text1"/>
          <w:lang w:val="en-CA"/>
        </w:rPr>
        <w:t xml:space="preserve">Hlavacik, M. (2016). Assigning Blame: The Rhetoric of Educational Reform. Harvard Education </w:t>
      </w:r>
      <w:r>
        <w:rPr>
          <w:rFonts w:ascii="Garamond" w:hAnsi="Garamond"/>
          <w:color w:val="000000" w:themeColor="text1"/>
          <w:lang w:val="en-CA"/>
        </w:rPr>
        <w:t xml:space="preserve">                                </w:t>
      </w:r>
      <w:r>
        <w:rPr>
          <w:rFonts w:ascii="Garamond" w:hAnsi="Garamond"/>
          <w:color w:val="000000" w:themeColor="text1"/>
          <w:lang w:val="en-CA"/>
        </w:rPr>
        <w:tab/>
      </w:r>
      <w:r w:rsidRPr="00593FEB">
        <w:rPr>
          <w:rFonts w:ascii="Garamond" w:hAnsi="Garamond"/>
          <w:color w:val="000000" w:themeColor="text1"/>
          <w:lang w:val="en-CA"/>
        </w:rPr>
        <w:t>Publishing Group.</w:t>
      </w:r>
    </w:p>
    <w:p w14:paraId="45F7FF26" w14:textId="77777777" w:rsidR="001375A4" w:rsidRPr="00593FEB" w:rsidRDefault="001375A4" w:rsidP="001375A4">
      <w:pPr>
        <w:spacing w:line="240" w:lineRule="auto"/>
        <w:rPr>
          <w:rFonts w:ascii="Garamond" w:hAnsi="Garamond"/>
          <w:lang w:val="en-CA"/>
        </w:rPr>
      </w:pPr>
      <w:r w:rsidRPr="00593FEB">
        <w:rPr>
          <w:rFonts w:ascii="Garamond" w:hAnsi="Garamond"/>
          <w:lang w:val="en-CA"/>
        </w:rPr>
        <w:t xml:space="preserve">Kozol, J. (2012). Savage Inequalities: Children in American Schools. Broadway Book. </w:t>
      </w:r>
    </w:p>
    <w:p w14:paraId="5604219B" w14:textId="74263AB0" w:rsidR="001375A4" w:rsidRPr="00593FEB" w:rsidRDefault="001375A4" w:rsidP="001375A4">
      <w:pPr>
        <w:spacing w:line="240" w:lineRule="auto"/>
        <w:rPr>
          <w:rFonts w:ascii="Garamond" w:hAnsi="Garamond"/>
          <w:lang w:val="en-CA"/>
        </w:rPr>
      </w:pPr>
      <w:r w:rsidRPr="00593FEB">
        <w:rPr>
          <w:rFonts w:ascii="Garamond" w:hAnsi="Garamond"/>
          <w:lang w:val="en-CA"/>
        </w:rPr>
        <w:t xml:space="preserve">Freidman, M. (1980). Free to Choose: What’s Wrong with Our Schools? Public Broadcasting </w:t>
      </w:r>
      <w:r>
        <w:rPr>
          <w:rFonts w:ascii="Garamond" w:hAnsi="Garamond"/>
          <w:lang w:val="en-CA"/>
        </w:rPr>
        <w:tab/>
        <w:t xml:space="preserve">                      </w:t>
      </w:r>
      <w:r>
        <w:rPr>
          <w:rFonts w:ascii="Garamond" w:hAnsi="Garamond"/>
          <w:lang w:val="en-CA"/>
        </w:rPr>
        <w:tab/>
      </w:r>
      <w:r w:rsidRPr="00593FEB">
        <w:rPr>
          <w:rFonts w:ascii="Garamond" w:hAnsi="Garamond"/>
          <w:lang w:val="en-CA"/>
        </w:rPr>
        <w:t>Services (PBS)</w:t>
      </w:r>
    </w:p>
    <w:p w14:paraId="778A181D" w14:textId="79A66446" w:rsidR="001375A4" w:rsidRPr="00593FEB" w:rsidRDefault="001375A4" w:rsidP="001375A4">
      <w:pPr>
        <w:spacing w:line="240" w:lineRule="auto"/>
        <w:rPr>
          <w:rFonts w:ascii="Garamond" w:hAnsi="Garamond"/>
          <w:lang w:val="en-CA"/>
        </w:rPr>
      </w:pPr>
      <w:r w:rsidRPr="00593FEB">
        <w:rPr>
          <w:rFonts w:ascii="Garamond" w:hAnsi="Garamond"/>
          <w:lang w:val="en-CA"/>
        </w:rPr>
        <w:t xml:space="preserve">Stone, D. (2011), Policy Paradox: The Art of Political Decision Making (Third Edition). W. W. </w:t>
      </w:r>
      <w:r>
        <w:rPr>
          <w:rFonts w:ascii="Garamond" w:hAnsi="Garamond"/>
          <w:lang w:val="en-CA"/>
        </w:rPr>
        <w:tab/>
        <w:t xml:space="preserve">                   </w:t>
      </w:r>
      <w:r>
        <w:rPr>
          <w:rFonts w:ascii="Garamond" w:hAnsi="Garamond"/>
          <w:lang w:val="en-CA"/>
        </w:rPr>
        <w:tab/>
      </w:r>
      <w:r w:rsidRPr="00593FEB">
        <w:rPr>
          <w:rFonts w:ascii="Garamond" w:hAnsi="Garamond"/>
          <w:lang w:val="en-CA"/>
        </w:rPr>
        <w:t xml:space="preserve">Norton &amp; Company. </w:t>
      </w:r>
    </w:p>
    <w:p w14:paraId="022D4454" w14:textId="77777777" w:rsidR="00C07F82" w:rsidRPr="005B482D" w:rsidRDefault="00C07F82" w:rsidP="00483173">
      <w:pPr>
        <w:spacing w:after="0" w:line="240" w:lineRule="auto"/>
        <w:rPr>
          <w:rFonts w:ascii="Garamond" w:hAnsi="Garamond"/>
          <w:sz w:val="24"/>
          <w:szCs w:val="24"/>
        </w:rPr>
      </w:pPr>
    </w:p>
    <w:p w14:paraId="1BD0C09B" w14:textId="0D03FD1A" w:rsidR="00C867A5" w:rsidRPr="00EB7A2F" w:rsidRDefault="00C867A5" w:rsidP="00483173">
      <w:pPr>
        <w:spacing w:after="0" w:line="240" w:lineRule="auto"/>
        <w:rPr>
          <w:rFonts w:ascii="Garamond" w:hAnsi="Garamond"/>
          <w:b/>
          <w:sz w:val="24"/>
          <w:szCs w:val="24"/>
        </w:rPr>
      </w:pPr>
      <w:r w:rsidRPr="00EB7A2F">
        <w:rPr>
          <w:rFonts w:ascii="Garamond" w:hAnsi="Garamond"/>
          <w:b/>
          <w:sz w:val="24"/>
          <w:szCs w:val="24"/>
        </w:rPr>
        <w:t>About the Reviewer</w:t>
      </w:r>
    </w:p>
    <w:p w14:paraId="3279A95D" w14:textId="77777777" w:rsidR="00C867A5" w:rsidRPr="005B482D" w:rsidRDefault="00C867A5" w:rsidP="00483173">
      <w:pPr>
        <w:spacing w:after="0" w:line="240" w:lineRule="auto"/>
        <w:rPr>
          <w:rFonts w:ascii="Garamond" w:hAnsi="Garamond"/>
          <w:sz w:val="24"/>
          <w:szCs w:val="24"/>
        </w:rPr>
      </w:pPr>
    </w:p>
    <w:p w14:paraId="48BF0AB2" w14:textId="67C7F92E" w:rsidR="00483173" w:rsidRPr="00BD3BD8" w:rsidRDefault="001375A4" w:rsidP="00483173">
      <w:pPr>
        <w:spacing w:after="0" w:line="240" w:lineRule="auto"/>
        <w:contextualSpacing/>
        <w:rPr>
          <w:rFonts w:ascii="Garamond" w:hAnsi="Garamond"/>
          <w:b/>
        </w:rPr>
      </w:pPr>
      <w:r w:rsidRPr="00BD3BD8">
        <w:rPr>
          <w:rFonts w:ascii="Garamond" w:hAnsi="Garamond"/>
          <w:b/>
        </w:rPr>
        <w:t>Julie Chami Lindsay</w:t>
      </w:r>
    </w:p>
    <w:p w14:paraId="76A678AD" w14:textId="1DAC1FA0" w:rsidR="00483173" w:rsidRPr="00BD3BD8" w:rsidRDefault="001375A4" w:rsidP="00483173">
      <w:pPr>
        <w:spacing w:after="0" w:line="240" w:lineRule="auto"/>
        <w:contextualSpacing/>
        <w:rPr>
          <w:rFonts w:ascii="Garamond" w:hAnsi="Garamond"/>
        </w:rPr>
      </w:pPr>
      <w:r w:rsidRPr="00BD3BD8">
        <w:rPr>
          <w:rFonts w:ascii="Garamond" w:hAnsi="Garamond"/>
        </w:rPr>
        <w:t>Ph.D. Student at the University of Toronto (Ontario Institute for Studies in Education)</w:t>
      </w:r>
    </w:p>
    <w:p w14:paraId="4A4A40FE" w14:textId="1325598D" w:rsidR="001375A4" w:rsidRPr="00BD3BD8" w:rsidRDefault="001375A4" w:rsidP="00483173">
      <w:pPr>
        <w:spacing w:after="0" w:line="240" w:lineRule="auto"/>
        <w:contextualSpacing/>
        <w:rPr>
          <w:rFonts w:ascii="Garamond" w:hAnsi="Garamond"/>
        </w:rPr>
      </w:pPr>
      <w:r w:rsidRPr="00BD3BD8">
        <w:rPr>
          <w:rFonts w:ascii="Garamond" w:hAnsi="Garamond"/>
        </w:rPr>
        <w:t>Policy and Leadership in Education</w:t>
      </w:r>
    </w:p>
    <w:p w14:paraId="6F75C430" w14:textId="77777777" w:rsidR="006B77DF" w:rsidRDefault="006B77DF">
      <w:pPr>
        <w:suppressAutoHyphens w:val="0"/>
        <w:spacing w:after="0" w:line="240" w:lineRule="auto"/>
        <w:rPr>
          <w:rFonts w:ascii="Garamond" w:hAnsi="Garamond"/>
        </w:rPr>
      </w:pPr>
    </w:p>
    <w:p w14:paraId="7867FD23" w14:textId="0191EBED" w:rsidR="00C867A5" w:rsidRPr="005B482D" w:rsidRDefault="001375A4">
      <w:pPr>
        <w:suppressAutoHyphens w:val="0"/>
        <w:spacing w:after="0" w:line="240" w:lineRule="auto"/>
        <w:rPr>
          <w:rFonts w:ascii="Garamond" w:hAnsi="Garamond" w:cs="Candara"/>
          <w:i/>
          <w:noProof/>
        </w:rPr>
      </w:pPr>
      <w:r w:rsidRPr="00BD3BD8">
        <w:rPr>
          <w:rFonts w:ascii="Garamond" w:hAnsi="Garamond"/>
        </w:rPr>
        <w:t>In addition to completing a doctoral degree in educational policy, Julie is the mother of th</w:t>
      </w:r>
      <w:r w:rsidR="00BD3BD8">
        <w:rPr>
          <w:rFonts w:ascii="Garamond" w:hAnsi="Garamond"/>
        </w:rPr>
        <w:t>ree young girls and an educator</w:t>
      </w:r>
      <w:r w:rsidRPr="00BD3BD8">
        <w:rPr>
          <w:rFonts w:ascii="Garamond" w:hAnsi="Garamond"/>
        </w:rPr>
        <w:t xml:space="preserve"> in Ontario, Canada. </w:t>
      </w:r>
      <w:r w:rsidR="00C867A5" w:rsidRPr="005B482D">
        <w:rPr>
          <w:rFonts w:ascii="Garamond" w:hAnsi="Garamond" w:cs="Candara"/>
          <w:i/>
          <w:noProof/>
        </w:rPr>
        <w:br w:type="page"/>
      </w:r>
    </w:p>
    <w:p w14:paraId="48672C90" w14:textId="77777777" w:rsidR="00C867A5" w:rsidRPr="005B482D" w:rsidRDefault="00C867A5" w:rsidP="00C867A5">
      <w:pPr>
        <w:spacing w:after="0"/>
        <w:ind w:left="-180" w:right="-180"/>
        <w:rPr>
          <w:rFonts w:ascii="Garamond" w:hAnsi="Garamond" w:cs="Candara"/>
          <w:i/>
        </w:rPr>
      </w:pPr>
      <w:r w:rsidRPr="005B482D">
        <w:rPr>
          <w:rFonts w:ascii="Garamond" w:hAnsi="Garamond" w:cs="Candara"/>
          <w:i/>
          <w:noProof/>
        </w:rPr>
        <w:lastRenderedPageBreak/>
        <w:drawing>
          <wp:inline distT="0" distB="0" distL="0" distR="0" wp14:anchorId="2FE481B7" wp14:editId="6C512976">
            <wp:extent cx="5943600" cy="15716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banner.jpg"/>
                    <pic:cNvPicPr/>
                  </pic:nvPicPr>
                  <pic:blipFill>
                    <a:blip r:embed="rId18">
                      <a:extLst>
                        <a:ext uri="{28A0092B-C50C-407E-A947-70E740481C1C}">
                          <a14:useLocalDpi xmlns:a14="http://schemas.microsoft.com/office/drawing/2010/main" val="0"/>
                        </a:ext>
                      </a:extLst>
                    </a:blip>
                    <a:stretch>
                      <a:fillRect/>
                    </a:stretch>
                  </pic:blipFill>
                  <pic:spPr>
                    <a:xfrm>
                      <a:off x="0" y="0"/>
                      <a:ext cx="5943600" cy="1571625"/>
                    </a:xfrm>
                    <a:prstGeom prst="rect">
                      <a:avLst/>
                    </a:prstGeom>
                  </pic:spPr>
                </pic:pic>
              </a:graphicData>
            </a:graphic>
          </wp:inline>
        </w:drawing>
      </w:r>
    </w:p>
    <w:p w14:paraId="39257A7D" w14:textId="77777777" w:rsidR="00C867A5" w:rsidRPr="005B482D" w:rsidRDefault="00C867A5" w:rsidP="00097207">
      <w:pPr>
        <w:spacing w:after="0" w:line="240" w:lineRule="auto"/>
        <w:rPr>
          <w:rFonts w:ascii="Garamond" w:hAnsi="Garamond"/>
          <w:bCs/>
          <w:sz w:val="24"/>
          <w:szCs w:val="24"/>
        </w:rPr>
      </w:pPr>
      <w:r w:rsidRPr="005B482D">
        <w:rPr>
          <w:rFonts w:ascii="Garamond" w:hAnsi="Garamond"/>
          <w:noProof/>
          <w:sz w:val="24"/>
          <w:szCs w:val="24"/>
        </w:rPr>
        <w:drawing>
          <wp:anchor distT="0" distB="0" distL="114935" distR="114935" simplePos="0" relativeHeight="251659264" behindDoc="1" locked="0" layoutInCell="1" allowOverlap="1" wp14:anchorId="00B087DC" wp14:editId="0F58BD4B">
            <wp:simplePos x="0" y="0"/>
            <wp:positionH relativeFrom="column">
              <wp:posOffset>-31750</wp:posOffset>
            </wp:positionH>
            <wp:positionV relativeFrom="paragraph">
              <wp:posOffset>27940</wp:posOffset>
            </wp:positionV>
            <wp:extent cx="211455" cy="299085"/>
            <wp:effectExtent l="0" t="0" r="0" b="5715"/>
            <wp:wrapTight wrapText="bothSides">
              <wp:wrapPolygon edited="0">
                <wp:start x="0" y="0"/>
                <wp:lineTo x="0" y="20178"/>
                <wp:lineTo x="18162" y="20178"/>
                <wp:lineTo x="1816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1455" cy="2990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B482D">
        <w:rPr>
          <w:rFonts w:ascii="Garamond" w:hAnsi="Garamond"/>
          <w:i/>
          <w:sz w:val="24"/>
          <w:szCs w:val="24"/>
        </w:rPr>
        <w:t>Education Review/</w:t>
      </w:r>
      <w:r w:rsidRPr="005B482D">
        <w:rPr>
          <w:rFonts w:ascii="Garamond" w:hAnsi="Garamond"/>
          <w:bCs/>
          <w:i/>
          <w:sz w:val="24"/>
          <w:szCs w:val="24"/>
        </w:rPr>
        <w:t xml:space="preserve">Reseñas Educativas/Resenhas Educativas </w:t>
      </w:r>
      <w:r w:rsidRPr="005B482D">
        <w:rPr>
          <w:rFonts w:ascii="Garamond" w:hAnsi="Garamond"/>
          <w:bCs/>
          <w:sz w:val="24"/>
          <w:szCs w:val="24"/>
        </w:rPr>
        <w:t xml:space="preserve">is supported by the edXchange initiative’s Scholarly Communications Group at the Mary Lou Fulton Teachers College, Arizona State University. </w:t>
      </w:r>
      <w:r w:rsidRPr="005B482D">
        <w:rPr>
          <w:rFonts w:ascii="Garamond" w:hAnsi="Garamond"/>
          <w:sz w:val="24"/>
          <w:szCs w:val="24"/>
        </w:rPr>
        <w:t xml:space="preserve">Copyright is retained by the first or sole author, who grants right of first publication to the </w:t>
      </w:r>
      <w:r w:rsidRPr="005B482D">
        <w:rPr>
          <w:rFonts w:ascii="Garamond" w:hAnsi="Garamond"/>
          <w:i/>
          <w:sz w:val="24"/>
          <w:szCs w:val="24"/>
        </w:rPr>
        <w:t>Education Review</w:t>
      </w:r>
      <w:r w:rsidRPr="005B482D">
        <w:rPr>
          <w:rFonts w:ascii="Garamond" w:hAnsi="Garamond"/>
          <w:sz w:val="24"/>
          <w:szCs w:val="24"/>
        </w:rPr>
        <w:t xml:space="preserve">. </w:t>
      </w:r>
      <w:r w:rsidRPr="005B482D">
        <w:rPr>
          <w:rFonts w:ascii="Garamond" w:hAnsi="Garamond"/>
          <w:spacing w:val="4"/>
          <w:sz w:val="24"/>
          <w:szCs w:val="24"/>
        </w:rPr>
        <w:t xml:space="preserve">Readers are free to copy, display, and distribute this article, as long as the work is attributed to the author(s) and </w:t>
      </w:r>
      <w:r w:rsidRPr="005B482D">
        <w:rPr>
          <w:rFonts w:ascii="Garamond" w:hAnsi="Garamond"/>
          <w:b/>
          <w:i/>
          <w:spacing w:val="4"/>
          <w:sz w:val="24"/>
          <w:szCs w:val="24"/>
        </w:rPr>
        <w:t>Education Review</w:t>
      </w:r>
      <w:r w:rsidRPr="005B482D">
        <w:rPr>
          <w:rFonts w:ascii="Garamond" w:hAnsi="Garamond"/>
          <w:b/>
          <w:spacing w:val="4"/>
          <w:sz w:val="24"/>
          <w:szCs w:val="24"/>
        </w:rPr>
        <w:t xml:space="preserve">, </w:t>
      </w:r>
      <w:r w:rsidRPr="005B482D">
        <w:rPr>
          <w:rFonts w:ascii="Garamond" w:hAnsi="Garamond"/>
          <w:spacing w:val="4"/>
          <w:sz w:val="24"/>
          <w:szCs w:val="24"/>
        </w:rPr>
        <w:t>it is distributed</w:t>
      </w:r>
      <w:r w:rsidRPr="005B482D">
        <w:rPr>
          <w:rFonts w:ascii="Garamond" w:hAnsi="Garamond"/>
          <w:b/>
          <w:spacing w:val="4"/>
          <w:sz w:val="24"/>
          <w:szCs w:val="24"/>
        </w:rPr>
        <w:t xml:space="preserve"> </w:t>
      </w:r>
      <w:r w:rsidRPr="005B482D">
        <w:rPr>
          <w:rFonts w:ascii="Garamond" w:hAnsi="Garamond"/>
          <w:spacing w:val="4"/>
          <w:sz w:val="24"/>
          <w:szCs w:val="24"/>
        </w:rPr>
        <w:t xml:space="preserve">for non-commercial purposes only, and no alteration or transformation is made in the work. More details of this Creative Commons license are available at http://creativecommons.org/licenses/by-nc-sa/3.0/. All other uses must be approved by the author(s) or </w:t>
      </w:r>
      <w:r w:rsidRPr="005B482D">
        <w:rPr>
          <w:rFonts w:ascii="Garamond" w:hAnsi="Garamond"/>
          <w:b/>
          <w:i/>
          <w:spacing w:val="4"/>
          <w:sz w:val="24"/>
          <w:szCs w:val="24"/>
        </w:rPr>
        <w:t>Education Review</w:t>
      </w:r>
      <w:r w:rsidRPr="005B482D">
        <w:rPr>
          <w:rFonts w:ascii="Garamond" w:hAnsi="Garamond"/>
          <w:spacing w:val="4"/>
          <w:sz w:val="24"/>
          <w:szCs w:val="24"/>
        </w:rPr>
        <w:t xml:space="preserve">. </w:t>
      </w:r>
      <w:r w:rsidRPr="005B482D">
        <w:rPr>
          <w:rFonts w:ascii="Garamond" w:hAnsi="Garamond"/>
          <w:b/>
          <w:i/>
          <w:spacing w:val="4"/>
          <w:sz w:val="24"/>
          <w:szCs w:val="24"/>
        </w:rPr>
        <w:t>Education Review</w:t>
      </w:r>
      <w:r w:rsidRPr="005B482D">
        <w:rPr>
          <w:rFonts w:ascii="Garamond" w:hAnsi="Garamond"/>
          <w:spacing w:val="4"/>
          <w:sz w:val="24"/>
          <w:szCs w:val="24"/>
        </w:rPr>
        <w:t xml:space="preserve"> is published by the Scholarly Communications Group of the Mary Lou Fulton Teachers College, Arizona State University.</w:t>
      </w:r>
    </w:p>
    <w:p w14:paraId="6DD8CFA5" w14:textId="77777777" w:rsidR="00C867A5" w:rsidRPr="005B482D" w:rsidRDefault="00C867A5" w:rsidP="00097207">
      <w:pPr>
        <w:spacing w:after="0" w:line="240" w:lineRule="auto"/>
        <w:rPr>
          <w:rFonts w:ascii="Garamond" w:hAnsi="Garamond"/>
          <w:spacing w:val="4"/>
          <w:sz w:val="24"/>
          <w:szCs w:val="24"/>
        </w:rPr>
      </w:pPr>
    </w:p>
    <w:p w14:paraId="31A2DCA9" w14:textId="77777777" w:rsidR="00C867A5" w:rsidRPr="005B482D" w:rsidRDefault="00C867A5" w:rsidP="00097207">
      <w:pPr>
        <w:spacing w:after="0" w:line="240" w:lineRule="auto"/>
        <w:rPr>
          <w:rFonts w:ascii="Garamond" w:hAnsi="Garamond"/>
          <w:sz w:val="24"/>
          <w:szCs w:val="24"/>
        </w:rPr>
      </w:pPr>
      <w:r w:rsidRPr="005B482D">
        <w:rPr>
          <w:rFonts w:ascii="Garamond" w:hAnsi="Garamond"/>
          <w:spacing w:val="4"/>
          <w:sz w:val="24"/>
          <w:szCs w:val="24"/>
        </w:rPr>
        <w:t xml:space="preserve">Please contribute reviews at </w:t>
      </w:r>
      <w:hyperlink r:id="rId20" w:history="1">
        <w:r w:rsidRPr="005B482D">
          <w:rPr>
            <w:rStyle w:val="Hyperlink"/>
            <w:rFonts w:ascii="Garamond" w:hAnsi="Garamond"/>
            <w:spacing w:val="4"/>
            <w:sz w:val="24"/>
            <w:szCs w:val="24"/>
          </w:rPr>
          <w:t>http://www.edrev.info/contribute.html</w:t>
        </w:r>
      </w:hyperlink>
      <w:r w:rsidRPr="005B482D">
        <w:rPr>
          <w:rFonts w:ascii="Garamond" w:hAnsi="Garamond"/>
          <w:spacing w:val="4"/>
          <w:sz w:val="24"/>
          <w:szCs w:val="24"/>
        </w:rPr>
        <w:t>.</w:t>
      </w:r>
    </w:p>
    <w:p w14:paraId="4FF812A4" w14:textId="77777777" w:rsidR="00C867A5" w:rsidRPr="005B482D" w:rsidRDefault="00C867A5" w:rsidP="00097207">
      <w:pPr>
        <w:spacing w:after="0" w:line="240" w:lineRule="auto"/>
        <w:rPr>
          <w:rFonts w:ascii="Garamond" w:hAnsi="Garamond"/>
          <w:sz w:val="24"/>
          <w:szCs w:val="24"/>
        </w:rPr>
      </w:pPr>
    </w:p>
    <w:p w14:paraId="7AEFEFD9" w14:textId="77777777" w:rsidR="00C867A5" w:rsidRPr="005B482D" w:rsidRDefault="00C867A5" w:rsidP="000972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Garamond" w:hAnsi="Garamond"/>
          <w:color w:val="C94909"/>
          <w:sz w:val="24"/>
          <w:szCs w:val="24"/>
        </w:rPr>
      </w:pPr>
      <w:r w:rsidRPr="005B482D">
        <w:rPr>
          <w:rFonts w:ascii="Garamond" w:hAnsi="Garamond"/>
          <w:sz w:val="24"/>
          <w:szCs w:val="24"/>
        </w:rPr>
        <w:t xml:space="preserve">Connect with </w:t>
      </w:r>
      <w:r w:rsidRPr="005B482D">
        <w:rPr>
          <w:rFonts w:ascii="Garamond" w:hAnsi="Garamond"/>
          <w:i/>
          <w:sz w:val="24"/>
          <w:szCs w:val="24"/>
        </w:rPr>
        <w:t>Education Review</w:t>
      </w:r>
      <w:r w:rsidRPr="005B482D">
        <w:rPr>
          <w:rFonts w:ascii="Garamond" w:hAnsi="Garamond"/>
          <w:sz w:val="24"/>
          <w:szCs w:val="24"/>
        </w:rPr>
        <w:t xml:space="preserve"> on Facebook (</w:t>
      </w:r>
      <w:hyperlink r:id="rId21" w:history="1">
        <w:r w:rsidRPr="005B482D">
          <w:rPr>
            <w:rStyle w:val="Hyperlink"/>
            <w:rFonts w:ascii="Garamond" w:hAnsi="Garamond"/>
            <w:sz w:val="24"/>
            <w:szCs w:val="24"/>
          </w:rPr>
          <w:t>https://www.facebook.com/pages/Education-Review/178358222192644</w:t>
        </w:r>
      </w:hyperlink>
      <w:r w:rsidRPr="005B482D">
        <w:rPr>
          <w:rFonts w:ascii="Garamond" w:hAnsi="Garamond"/>
          <w:sz w:val="24"/>
          <w:szCs w:val="24"/>
        </w:rPr>
        <w:t>) and on Twitter @</w:t>
      </w:r>
      <w:r w:rsidRPr="005B482D">
        <w:rPr>
          <w:rFonts w:ascii="Garamond" w:hAnsi="Garamond"/>
          <w:noProof/>
          <w:sz w:val="24"/>
          <w:szCs w:val="24"/>
        </w:rPr>
        <w:t>EducReview</w:t>
      </w:r>
    </w:p>
    <w:p w14:paraId="61D1429A" w14:textId="77777777" w:rsidR="00C867A5" w:rsidRPr="005B482D" w:rsidRDefault="00C867A5" w:rsidP="00C867A5">
      <w:pPr>
        <w:spacing w:after="0" w:line="340" w:lineRule="exact"/>
        <w:jc w:val="center"/>
        <w:rPr>
          <w:rFonts w:ascii="Garamond" w:hAnsi="Garamond"/>
          <w:color w:val="C94909"/>
          <w:spacing w:val="14"/>
          <w:sz w:val="24"/>
          <w:szCs w:val="24"/>
        </w:rPr>
      </w:pPr>
    </w:p>
    <w:p w14:paraId="33F50801" w14:textId="77777777" w:rsidR="008B06E7" w:rsidRPr="005B482D" w:rsidRDefault="008B06E7">
      <w:pPr>
        <w:rPr>
          <w:rFonts w:ascii="Garamond" w:hAnsi="Garamond"/>
        </w:rPr>
      </w:pPr>
    </w:p>
    <w:sectPr w:rsidR="008B06E7" w:rsidRPr="005B482D" w:rsidSect="00EB7A2F">
      <w:type w:val="continuous"/>
      <w:pgSz w:w="12240" w:h="15840"/>
      <w:pgMar w:top="1440" w:right="1350" w:bottom="1440" w:left="1440" w:header="720" w:footer="720" w:gutter="0"/>
      <w:cols w:space="720"/>
      <w:titlePg/>
      <w:docGrid w:linePitch="600" w:charSpace="3686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27E6B" w14:textId="77777777" w:rsidR="00CB6FEC" w:rsidRDefault="00CB6FEC" w:rsidP="00C867A5">
      <w:pPr>
        <w:spacing w:after="0" w:line="240" w:lineRule="auto"/>
      </w:pPr>
      <w:r>
        <w:separator/>
      </w:r>
    </w:p>
  </w:endnote>
  <w:endnote w:type="continuationSeparator" w:id="0">
    <w:p w14:paraId="079BD004" w14:textId="77777777" w:rsidR="00CB6FEC" w:rsidRDefault="00CB6FEC" w:rsidP="00C86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287" w:usb1="00000000" w:usb2="00000000" w:usb3="00000000" w:csb0="0000009F" w:csb1="00000000"/>
  </w:font>
  <w:font w:name="PT Serif">
    <w:panose1 w:val="020A0603040505020204"/>
    <w:charset w:val="00"/>
    <w:family w:val="auto"/>
    <w:pitch w:val="variable"/>
    <w:sig w:usb0="A00002EF" w:usb1="5000204B" w:usb2="00000000" w:usb3="00000000" w:csb0="00000097" w:csb1="00000000"/>
  </w:font>
  <w:font w:name="Candara">
    <w:panose1 w:val="020E0502030303020204"/>
    <w:charset w:val="00"/>
    <w:family w:val="auto"/>
    <w:pitch w:val="variable"/>
    <w:sig w:usb0="A00002EF" w:usb1="4000A44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63578" w14:textId="77777777" w:rsidR="00487651" w:rsidRPr="005B482D" w:rsidRDefault="00CB6FEC" w:rsidP="00483173">
    <w:pPr>
      <w:pStyle w:val="Footer"/>
      <w:tabs>
        <w:tab w:val="clear" w:pos="9360"/>
        <w:tab w:val="right" w:pos="9450"/>
      </w:tabs>
      <w:rPr>
        <w:rFonts w:ascii="Garamond" w:hAnsi="Garamond"/>
        <w:color w:val="FF6600"/>
        <w:sz w:val="22"/>
        <w:szCs w:val="22"/>
      </w:rPr>
    </w:pPr>
    <w:r>
      <w:rPr>
        <w:rFonts w:ascii="Garamond" w:hAnsi="Garamond"/>
        <w:color w:val="FF6600"/>
        <w:sz w:val="22"/>
        <w:szCs w:val="22"/>
      </w:rPr>
      <w:pict w14:anchorId="0191A58F">
        <v:rect id="_x0000_i1026" style="width:0;height:1.5pt" o:hralign="center" o:hrstd="t" o:hr="t" fillcolor="#aaa" stroked="f"/>
      </w:pict>
    </w:r>
  </w:p>
  <w:p w14:paraId="151E1C5B" w14:textId="6E5CB5C2" w:rsidR="00487651" w:rsidRPr="005B482D" w:rsidRDefault="006765D2" w:rsidP="00483173">
    <w:pPr>
      <w:spacing w:after="0" w:line="240" w:lineRule="auto"/>
      <w:rPr>
        <w:rFonts w:ascii="Garamond" w:hAnsi="Garamond"/>
        <w:sz w:val="22"/>
        <w:szCs w:val="22"/>
      </w:rPr>
    </w:pPr>
    <w:r w:rsidRPr="006765D2">
      <w:rPr>
        <w:rFonts w:ascii="Garamond" w:hAnsi="Garamond"/>
        <w:sz w:val="22"/>
        <w:szCs w:val="22"/>
      </w:rPr>
      <w:t>Chami Lindsay, J</w:t>
    </w:r>
    <w:r w:rsidR="00EB7A2F" w:rsidRPr="006765D2">
      <w:rPr>
        <w:rFonts w:ascii="Garamond" w:hAnsi="Garamond"/>
        <w:sz w:val="22"/>
        <w:szCs w:val="22"/>
      </w:rPr>
      <w:t>.</w:t>
    </w:r>
    <w:r w:rsidR="00487651" w:rsidRPr="006765D2">
      <w:rPr>
        <w:rFonts w:ascii="Garamond" w:hAnsi="Garamond"/>
        <w:sz w:val="22"/>
        <w:szCs w:val="22"/>
      </w:rPr>
      <w:t xml:space="preserve"> (</w:t>
    </w:r>
    <w:r w:rsidR="00C07F82" w:rsidRPr="006765D2">
      <w:rPr>
        <w:rFonts w:ascii="Garamond" w:hAnsi="Garamond"/>
        <w:sz w:val="22"/>
        <w:szCs w:val="22"/>
      </w:rPr>
      <w:t>EdRev will insert date</w:t>
    </w:r>
    <w:r w:rsidR="00487651" w:rsidRPr="006765D2">
      <w:rPr>
        <w:rFonts w:ascii="Garamond" w:hAnsi="Garamond"/>
        <w:sz w:val="22"/>
        <w:szCs w:val="22"/>
      </w:rPr>
      <w:t xml:space="preserve">). </w:t>
    </w:r>
    <w:r w:rsidR="00C07F82" w:rsidRPr="006765D2">
      <w:rPr>
        <w:rFonts w:ascii="Garamond" w:hAnsi="Garamond"/>
        <w:sz w:val="22"/>
        <w:szCs w:val="22"/>
      </w:rPr>
      <w:t>Review of</w:t>
    </w:r>
    <w:r w:rsidR="00C07F82" w:rsidRPr="006765D2">
      <w:rPr>
        <w:rFonts w:ascii="Garamond" w:hAnsi="Garamond"/>
        <w:i/>
        <w:sz w:val="22"/>
        <w:szCs w:val="22"/>
      </w:rPr>
      <w:t xml:space="preserve"> </w:t>
    </w:r>
    <w:r w:rsidRPr="006765D2">
      <w:rPr>
        <w:rFonts w:ascii="Garamond" w:hAnsi="Garamond"/>
        <w:i/>
        <w:sz w:val="22"/>
        <w:szCs w:val="22"/>
      </w:rPr>
      <w:t>Assigning Blame: The Rhetoric of Education Reform</w:t>
    </w:r>
    <w:r w:rsidR="00487651" w:rsidRPr="006765D2">
      <w:rPr>
        <w:rFonts w:ascii="Garamond" w:hAnsi="Garamond"/>
        <w:sz w:val="22"/>
        <w:szCs w:val="22"/>
      </w:rPr>
      <w:t xml:space="preserve"> by </w:t>
    </w:r>
    <w:r w:rsidRPr="006765D2">
      <w:rPr>
        <w:rFonts w:ascii="Garamond" w:hAnsi="Garamond"/>
        <w:sz w:val="22"/>
        <w:szCs w:val="22"/>
      </w:rPr>
      <w:t>Hlavacik, M.,</w:t>
    </w:r>
    <w:r w:rsidR="00487651" w:rsidRPr="006765D2">
      <w:rPr>
        <w:rFonts w:ascii="Garamond" w:hAnsi="Garamond"/>
        <w:sz w:val="22"/>
        <w:szCs w:val="22"/>
      </w:rPr>
      <w:t xml:space="preserve"> </w:t>
    </w:r>
    <w:r w:rsidR="00487651" w:rsidRPr="006765D2">
      <w:rPr>
        <w:rFonts w:ascii="Garamond" w:hAnsi="Garamond"/>
        <w:i/>
        <w:sz w:val="22"/>
        <w:szCs w:val="22"/>
      </w:rPr>
      <w:t>Education Review</w:t>
    </w:r>
    <w:r w:rsidR="00EB7A2F" w:rsidRPr="006765D2">
      <w:rPr>
        <w:rFonts w:ascii="Garamond" w:hAnsi="Garamond"/>
        <w:sz w:val="22"/>
        <w:szCs w:val="22"/>
      </w:rPr>
      <w:t>, 23</w:t>
    </w:r>
    <w:r w:rsidR="00487651" w:rsidRPr="006765D2">
      <w:rPr>
        <w:rFonts w:ascii="Garamond" w:hAnsi="Garamond"/>
        <w:sz w:val="22"/>
        <w:szCs w:val="22"/>
      </w:rPr>
      <w: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5751B" w14:textId="77777777" w:rsidR="00487651" w:rsidRDefault="00487651"/>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57C8F" w14:textId="77777777" w:rsidR="00487651" w:rsidRDefault="00487651"/>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E024F" w14:textId="77777777" w:rsidR="00487651" w:rsidRDefault="00487651">
    <w:pPr>
      <w:pStyle w:val="Footer"/>
      <w:ind w:left="450"/>
      <w:rPr>
        <w:rFonts w:ascii="Garamond" w:hAnsi="Garamond" w:cs="Garamond"/>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3D768" w14:textId="77777777" w:rsidR="00CB6FEC" w:rsidRDefault="00CB6FEC" w:rsidP="00C867A5">
      <w:pPr>
        <w:spacing w:after="0" w:line="240" w:lineRule="auto"/>
      </w:pPr>
      <w:r>
        <w:separator/>
      </w:r>
    </w:p>
  </w:footnote>
  <w:footnote w:type="continuationSeparator" w:id="0">
    <w:p w14:paraId="33495FA3" w14:textId="77777777" w:rsidR="00CB6FEC" w:rsidRDefault="00CB6FEC" w:rsidP="00C867A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C0012" w14:textId="77777777" w:rsidR="00487651" w:rsidRPr="005B482D" w:rsidRDefault="00487651" w:rsidP="00C867A5">
    <w:pPr>
      <w:pStyle w:val="Header"/>
      <w:framePr w:wrap="around" w:vAnchor="text" w:hAnchor="margin" w:xAlign="right" w:y="1"/>
      <w:rPr>
        <w:rStyle w:val="PageNumber"/>
        <w:rFonts w:ascii="Garamond" w:hAnsi="Garamond"/>
        <w:sz w:val="22"/>
        <w:szCs w:val="22"/>
      </w:rPr>
    </w:pPr>
    <w:r w:rsidRPr="005B482D">
      <w:rPr>
        <w:rStyle w:val="PageNumber"/>
        <w:rFonts w:ascii="Garamond" w:hAnsi="Garamond"/>
        <w:sz w:val="22"/>
        <w:szCs w:val="22"/>
      </w:rPr>
      <w:fldChar w:fldCharType="begin"/>
    </w:r>
    <w:r w:rsidRPr="005B482D">
      <w:rPr>
        <w:rStyle w:val="PageNumber"/>
        <w:rFonts w:ascii="Garamond" w:hAnsi="Garamond"/>
        <w:sz w:val="22"/>
        <w:szCs w:val="22"/>
      </w:rPr>
      <w:instrText xml:space="preserve">PAGE  </w:instrText>
    </w:r>
    <w:r w:rsidRPr="005B482D">
      <w:rPr>
        <w:rStyle w:val="PageNumber"/>
        <w:rFonts w:ascii="Garamond" w:hAnsi="Garamond"/>
        <w:sz w:val="22"/>
        <w:szCs w:val="22"/>
      </w:rPr>
      <w:fldChar w:fldCharType="separate"/>
    </w:r>
    <w:r w:rsidR="006E14A7">
      <w:rPr>
        <w:rStyle w:val="PageNumber"/>
        <w:rFonts w:ascii="Garamond" w:hAnsi="Garamond"/>
        <w:noProof/>
        <w:sz w:val="22"/>
        <w:szCs w:val="22"/>
      </w:rPr>
      <w:t>2</w:t>
    </w:r>
    <w:r w:rsidRPr="005B482D">
      <w:rPr>
        <w:rStyle w:val="PageNumber"/>
        <w:rFonts w:ascii="Garamond" w:hAnsi="Garamond"/>
        <w:sz w:val="22"/>
        <w:szCs w:val="22"/>
      </w:rPr>
      <w:fldChar w:fldCharType="end"/>
    </w:r>
  </w:p>
  <w:p w14:paraId="4DBEA39E" w14:textId="77777777" w:rsidR="00EB7A2F" w:rsidRPr="00EB7A2F" w:rsidRDefault="00EB7A2F" w:rsidP="00EB7A2F">
    <w:pPr>
      <w:pStyle w:val="Header"/>
      <w:rPr>
        <w:rFonts w:ascii="Garamond" w:hAnsi="Garamond"/>
        <w:i/>
        <w:sz w:val="22"/>
        <w:szCs w:val="22"/>
      </w:rPr>
    </w:pPr>
    <w:r w:rsidRPr="00EB7A2F">
      <w:rPr>
        <w:rFonts w:ascii="Garamond" w:hAnsi="Garamond"/>
        <w:i/>
        <w:sz w:val="22"/>
        <w:szCs w:val="22"/>
      </w:rPr>
      <w:t>Education Review /Reseñas Educativas</w:t>
    </w:r>
  </w:p>
  <w:p w14:paraId="52BC930C" w14:textId="77777777" w:rsidR="00487651" w:rsidRPr="005B482D" w:rsidRDefault="00487651" w:rsidP="00C867A5">
    <w:pPr>
      <w:pStyle w:val="Header"/>
      <w:ind w:right="360"/>
      <w:rPr>
        <w:rFonts w:ascii="Garamond" w:hAnsi="Garamond"/>
        <w:i/>
        <w:sz w:val="22"/>
        <w:szCs w:val="2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81335" w14:textId="77777777" w:rsidR="00487651" w:rsidRDefault="00487651">
    <w:pPr>
      <w:pStyle w:val="Header"/>
      <w:jc w:val="right"/>
    </w:pPr>
  </w:p>
  <w:p w14:paraId="2315BE4F" w14:textId="77777777" w:rsidR="00487651" w:rsidRDefault="00487651">
    <w:pPr>
      <w:pStyle w:val="Header"/>
      <w:tabs>
        <w:tab w:val="left" w:pos="450"/>
      </w:tabs>
    </w:pPr>
    <w:r>
      <w:tab/>
    </w:r>
    <w:r>
      <w:rPr>
        <w:rFonts w:ascii="Garamond" w:hAnsi="Garamond" w:cs="Garamond"/>
        <w:b/>
        <w:i/>
        <w:color w:val="C94909"/>
      </w:rPr>
      <w:t>Education Review  http://www.edrev.info</w:t>
    </w:r>
    <w:r>
      <w:tab/>
    </w:r>
    <w:r>
      <w:tab/>
    </w:r>
    <w:r>
      <w:rPr>
        <w:color w:val="C94909"/>
      </w:rPr>
      <w:fldChar w:fldCharType="begin"/>
    </w:r>
    <w:r>
      <w:rPr>
        <w:color w:val="C94909"/>
      </w:rPr>
      <w:instrText xml:space="preserve"> PAGE </w:instrText>
    </w:r>
    <w:r>
      <w:rPr>
        <w:color w:val="C94909"/>
      </w:rPr>
      <w:fldChar w:fldCharType="separate"/>
    </w:r>
    <w:r>
      <w:rPr>
        <w:noProof/>
        <w:color w:val="C94909"/>
      </w:rPr>
      <w:t>2</w:t>
    </w:r>
    <w:r>
      <w:rPr>
        <w:color w:val="C94909"/>
      </w:rPr>
      <w:fldChar w:fldCharType="end"/>
    </w:r>
  </w:p>
  <w:p w14:paraId="14329F77" w14:textId="77777777" w:rsidR="00487651" w:rsidRDefault="00487651">
    <w:pPr>
      <w:pStyle w:val="Header"/>
      <w:ind w:left="360"/>
      <w:rPr>
        <w:rFonts w:ascii="Garamond" w:hAnsi="Garamond" w:cs="Garamond"/>
        <w:i/>
        <w:sz w:val="24"/>
        <w:szCs w:val="24"/>
        <w:u w:val="single"/>
      </w:rPr>
    </w:pPr>
    <w:r>
      <w:rPr>
        <w:noProof/>
      </w:rPr>
      <mc:AlternateContent>
        <mc:Choice Requires="wps">
          <w:drawing>
            <wp:anchor distT="0" distB="0" distL="114300" distR="114300" simplePos="0" relativeHeight="251659264" behindDoc="1" locked="0" layoutInCell="1" allowOverlap="1" wp14:anchorId="67D22912" wp14:editId="047E98F2">
              <wp:simplePos x="0" y="0"/>
              <wp:positionH relativeFrom="column">
                <wp:posOffset>295275</wp:posOffset>
              </wp:positionH>
              <wp:positionV relativeFrom="paragraph">
                <wp:posOffset>30480</wp:posOffset>
              </wp:positionV>
              <wp:extent cx="5725160" cy="1270"/>
              <wp:effectExtent l="104775" t="106680" r="113665" b="1079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1270"/>
                      </a:xfrm>
                      <a:prstGeom prst="straightConnector1">
                        <a:avLst/>
                      </a:prstGeom>
                      <a:noFill/>
                      <a:ln w="19080" cap="sq">
                        <a:solidFill>
                          <a:srgbClr val="C94909"/>
                        </a:solidFill>
                        <a:miter lim="800000"/>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A1D5ED8" id="_x0000_t32" coordsize="21600,21600" o:spt="32" o:oned="t" path="m,l21600,21600e" filled="f">
              <v:path arrowok="t" fillok="f" o:connecttype="none"/>
              <o:lock v:ext="edit" shapetype="t"/>
            </v:shapetype>
            <v:shape id="AutoShape 2" o:spid="_x0000_s1026" type="#_x0000_t32" style="position:absolute;margin-left:23.25pt;margin-top:2.4pt;width:450.8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dpSPgIAACMEAAAOAAAAZHJzL2Uyb0RvYy54bWysU02P2jAQvVfqf7ByD0kgkBBtWEGAXrYt&#10;0m5/gLEdYtWxXdtLQFX/e8fOst22t6o5WP6YeW9m3svd/aUX6MyM5UrWUTZJI8QkUZTLUx19edrH&#10;ZYSsw5JioSSroyuz0f3q/bu7QVdsqjolKDMIQKStBl1HnXO6ShJLOtZjO1GaSXhslemxg6M5JdTg&#10;AdB7kUzTdJEMylBtFGHWwu12fIxWAb9tGXGf29Yyh0QdQW0urCasR78mqztcnQzWHScvZeB/qKLH&#10;XALpK9QWO4yeDf8LqufEKKtaNyGqT1TbcsJCD9BNlv7RzWOHNQu9wHCsfh2T/X+w5NP5YBCnoF2E&#10;JO5BovWzU4EZTf14Bm0riGrkwfgGyUU+6gdFvlokVdNheWIh+OmqITfzGclvKf5gNZAch4+KQgwG&#10;/DCrS2t6DwlTQJcgyfVVEnZxiMDlvJjOswUoR+AtmxZBsQRXt1xtrPvAVI/8po6sM5ifOtcoKUF7&#10;ZbLAhM8P1vnKcHVL8MRS7bkQwQJCogEIlmnpuTA40X4LqVYJTn2YT7DmdGyEQWcMdmqW+TJdhobh&#10;5W1Yzx2YWvC+jsrUf6PNOobpTtLA5zAX4x5qEtKDs2DXsVA4XRxswz2MIljpO9Dtyl2Zx/l0sYvz&#10;lNJ4vW/yeLHPivl2tm2abfZj5PLzG5PW+3la5LMyLor5LM5nLI035b6J1022WBS7TbPZjUlQyI00&#10;KOhFG+U/Kno9mJuy4MQwyZe/xlv97Tno/+vfXv0EAAD//wMAUEsDBBQABgAIAAAAIQAqG56G3AAA&#10;AAYBAAAPAAAAZHJzL2Rvd25yZXYueG1sTI9BS8NAEIXvgv9hGcGb3Y2mocZsihSkeClaBa/b7DQb&#10;zM6G7LaJ/97xZE+P4T3e+6Zaz74XZxxjF0hDtlAgkJpgO2o1fH683K1AxGTImj4QavjBCOv6+qoy&#10;pQ0TveN5n1rBJRRLo8GlNJRSxsahN3ERBiT2jmH0JvE5ttKOZuJy38t7pQrpTUe84MyAG4fN9/7k&#10;NRRf2WuuWqu2bthlu+n44DdvW61vb+bnJxAJ5/Qfhj98RoeamQ7hRDaKXkNeLDnJyg+w/ZivMhAH&#10;DUsFsq7kJX79CwAA//8DAFBLAQItABQABgAIAAAAIQC2gziS/gAAAOEBAAATAAAAAAAAAAAAAAAA&#10;AAAAAABbQ29udGVudF9UeXBlc10ueG1sUEsBAi0AFAAGAAgAAAAhADj9If/WAAAAlAEAAAsAAAAA&#10;AAAAAAAAAAAALwEAAF9yZWxzLy5yZWxzUEsBAi0AFAAGAAgAAAAhAPR92lI+AgAAIwQAAA4AAAAA&#10;AAAAAAAAAAAALgIAAGRycy9lMm9Eb2MueG1sUEsBAi0AFAAGAAgAAAAhACobnobcAAAABgEAAA8A&#10;AAAAAAAAAAAAAAAAmAQAAGRycy9kb3ducmV2LnhtbFBLBQYAAAAABAAEAPMAAAChBQAAAAA=&#10;" strokecolor="#c94909" strokeweight=".53mm">
              <v:stroke joinstyle="miter" endcap="square"/>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85AE6" w14:textId="77777777" w:rsidR="00487651" w:rsidRPr="002A4489" w:rsidRDefault="00487651" w:rsidP="00C867A5">
    <w:pPr>
      <w:spacing w:after="0"/>
      <w:ind w:left="-180" w:right="-180"/>
      <w:jc w:val="right"/>
      <w:rPr>
        <w:rFonts w:ascii="PT Serif" w:hAnsi="PT Serif" w:cs="Candara"/>
        <w:b/>
        <w:spacing w:val="20"/>
        <w:sz w:val="30"/>
        <w:szCs w:val="30"/>
      </w:rPr>
    </w:pPr>
  </w:p>
  <w:p w14:paraId="4DB41DEB" w14:textId="77777777" w:rsidR="00487651" w:rsidRPr="00820E08" w:rsidRDefault="00487651" w:rsidP="00C867A5">
    <w:pPr>
      <w:spacing w:after="0"/>
      <w:ind w:left="-180" w:right="-180"/>
      <w:jc w:val="center"/>
      <w:rPr>
        <w:rFonts w:ascii="PT Serif" w:hAnsi="PT Serif" w:cs="Candara"/>
        <w:i/>
      </w:rPr>
    </w:pPr>
    <w:r>
      <w:rPr>
        <w:rFonts w:ascii="PT Serif" w:hAnsi="PT Serif" w:cs="Candara"/>
        <w:i/>
        <w:noProof/>
      </w:rPr>
      <w:drawing>
        <wp:inline distT="0" distB="0" distL="0" distR="0" wp14:anchorId="07BE23A1" wp14:editId="2469954E">
          <wp:extent cx="5943600" cy="15716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bann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571625"/>
                  </a:xfrm>
                  <a:prstGeom prst="rect">
                    <a:avLst/>
                  </a:prstGeom>
                </pic:spPr>
              </pic:pic>
            </a:graphicData>
          </a:graphic>
        </wp:inline>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FCA64" w14:textId="77777777" w:rsidR="00487651" w:rsidRPr="002213CF" w:rsidRDefault="00487651" w:rsidP="00C867A5">
    <w:pPr>
      <w:pStyle w:val="Header"/>
      <w:framePr w:wrap="around" w:vAnchor="text" w:hAnchor="margin" w:xAlign="right" w:y="1"/>
      <w:rPr>
        <w:rStyle w:val="PageNumber"/>
        <w:sz w:val="22"/>
        <w:szCs w:val="22"/>
      </w:rPr>
    </w:pPr>
    <w:r w:rsidRPr="002213CF">
      <w:rPr>
        <w:rStyle w:val="PageNumber"/>
        <w:sz w:val="22"/>
        <w:szCs w:val="22"/>
      </w:rPr>
      <w:fldChar w:fldCharType="begin"/>
    </w:r>
    <w:r w:rsidRPr="002213CF">
      <w:rPr>
        <w:rStyle w:val="PageNumber"/>
        <w:sz w:val="22"/>
        <w:szCs w:val="22"/>
      </w:rPr>
      <w:instrText xml:space="preserve">PAGE  </w:instrText>
    </w:r>
    <w:r w:rsidRPr="002213CF">
      <w:rPr>
        <w:rStyle w:val="PageNumber"/>
        <w:sz w:val="22"/>
        <w:szCs w:val="22"/>
      </w:rPr>
      <w:fldChar w:fldCharType="separate"/>
    </w:r>
    <w:r w:rsidR="009E1E12">
      <w:rPr>
        <w:rStyle w:val="PageNumber"/>
        <w:noProof/>
        <w:sz w:val="22"/>
        <w:szCs w:val="22"/>
      </w:rPr>
      <w:t>3</w:t>
    </w:r>
    <w:r w:rsidRPr="002213CF">
      <w:rPr>
        <w:rStyle w:val="PageNumber"/>
        <w:sz w:val="22"/>
        <w:szCs w:val="22"/>
      </w:rPr>
      <w:fldChar w:fldCharType="end"/>
    </w:r>
  </w:p>
  <w:p w14:paraId="775423C9" w14:textId="6641E9E8" w:rsidR="00487651" w:rsidRPr="00EB7A2F" w:rsidRDefault="00EB7A2F" w:rsidP="00C867A5">
    <w:pPr>
      <w:pStyle w:val="Header"/>
      <w:ind w:right="360"/>
      <w:rPr>
        <w:rFonts w:ascii="Garamond" w:hAnsi="Garamond"/>
        <w:i/>
        <w:sz w:val="22"/>
        <w:szCs w:val="22"/>
      </w:rPr>
    </w:pPr>
    <w:r w:rsidRPr="00EB7A2F">
      <w:rPr>
        <w:rFonts w:ascii="Garamond" w:hAnsi="Garamond"/>
        <w:i/>
        <w:sz w:val="22"/>
        <w:szCs w:val="22"/>
      </w:rPr>
      <w:t xml:space="preserve">Review of </w:t>
    </w:r>
    <w:r w:rsidR="001375A4">
      <w:rPr>
        <w:rFonts w:ascii="Garamond" w:hAnsi="Garamond"/>
        <w:i/>
        <w:sz w:val="22"/>
        <w:szCs w:val="22"/>
      </w:rPr>
      <w:t>Assigning Blame</w:t>
    </w:r>
    <w:r w:rsidRPr="00EB7A2F">
      <w:rPr>
        <w:rFonts w:ascii="Garamond" w:hAnsi="Garamond"/>
        <w:i/>
        <w:sz w:val="22"/>
        <w:szCs w:val="22"/>
      </w:rPr>
      <w:t xml:space="preserve"> by </w:t>
    </w:r>
    <w:r w:rsidR="001375A4">
      <w:rPr>
        <w:rFonts w:ascii="Garamond" w:hAnsi="Garamond"/>
        <w:i/>
        <w:sz w:val="22"/>
        <w:szCs w:val="22"/>
      </w:rPr>
      <w:t>Hlavacik, M.</w:t>
    </w:r>
    <w:r w:rsidR="00487651" w:rsidRPr="00EB7A2F">
      <w:rPr>
        <w:rFonts w:ascii="Garamond" w:hAnsi="Garamond"/>
        <w:i/>
        <w:sz w:val="22"/>
        <w:szCs w:val="22"/>
      </w:rPr>
      <w:tab/>
    </w:r>
    <w:r w:rsidR="00487651" w:rsidRPr="00EB7A2F">
      <w:rPr>
        <w:rFonts w:ascii="Garamond" w:hAnsi="Garamond"/>
        <w:i/>
        <w:sz w:val="22"/>
        <w:szCs w:val="22"/>
      </w:rPr>
      <w:tab/>
    </w:r>
  </w:p>
  <w:p w14:paraId="71EDBE78" w14:textId="77777777" w:rsidR="00487651" w:rsidRPr="002213CF" w:rsidRDefault="00487651" w:rsidP="00C867A5">
    <w:pPr>
      <w:pStyle w:val="Header"/>
      <w:tabs>
        <w:tab w:val="left" w:pos="0"/>
      </w:tabs>
      <w:rPr>
        <w:sz w:val="22"/>
        <w:szCs w:val="22"/>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3B007" w14:textId="77777777" w:rsidR="00487651" w:rsidRDefault="00487651">
    <w:pPr>
      <w:pStyle w:val="Header"/>
      <w:ind w:left="45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10E14"/>
    <w:multiLevelType w:val="hybridMultilevel"/>
    <w:tmpl w:val="A398A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7A5"/>
    <w:rsid w:val="00097207"/>
    <w:rsid w:val="00115910"/>
    <w:rsid w:val="00134DD9"/>
    <w:rsid w:val="001375A4"/>
    <w:rsid w:val="00183787"/>
    <w:rsid w:val="00234FC3"/>
    <w:rsid w:val="002D185D"/>
    <w:rsid w:val="0037358C"/>
    <w:rsid w:val="00385CC8"/>
    <w:rsid w:val="00416452"/>
    <w:rsid w:val="00416687"/>
    <w:rsid w:val="00475B56"/>
    <w:rsid w:val="00483173"/>
    <w:rsid w:val="00487651"/>
    <w:rsid w:val="004B4E73"/>
    <w:rsid w:val="00542C1F"/>
    <w:rsid w:val="005A3178"/>
    <w:rsid w:val="005B482D"/>
    <w:rsid w:val="0060021D"/>
    <w:rsid w:val="00627297"/>
    <w:rsid w:val="006765D2"/>
    <w:rsid w:val="006A2129"/>
    <w:rsid w:val="006B254C"/>
    <w:rsid w:val="006B77DF"/>
    <w:rsid w:val="006E14A7"/>
    <w:rsid w:val="006E424A"/>
    <w:rsid w:val="00770EE6"/>
    <w:rsid w:val="00782D54"/>
    <w:rsid w:val="007A0719"/>
    <w:rsid w:val="007A529F"/>
    <w:rsid w:val="007B307C"/>
    <w:rsid w:val="007D4667"/>
    <w:rsid w:val="007E5303"/>
    <w:rsid w:val="007E6DE4"/>
    <w:rsid w:val="007F515A"/>
    <w:rsid w:val="00884503"/>
    <w:rsid w:val="0088470F"/>
    <w:rsid w:val="008B06E7"/>
    <w:rsid w:val="008B1F19"/>
    <w:rsid w:val="009404E9"/>
    <w:rsid w:val="00950A86"/>
    <w:rsid w:val="00973938"/>
    <w:rsid w:val="009B32DE"/>
    <w:rsid w:val="009E1E12"/>
    <w:rsid w:val="00A10071"/>
    <w:rsid w:val="00AB3C16"/>
    <w:rsid w:val="00AC0996"/>
    <w:rsid w:val="00B30CE1"/>
    <w:rsid w:val="00B53F7A"/>
    <w:rsid w:val="00B54D31"/>
    <w:rsid w:val="00BD0E09"/>
    <w:rsid w:val="00BD3BD8"/>
    <w:rsid w:val="00C07F82"/>
    <w:rsid w:val="00C30F6C"/>
    <w:rsid w:val="00C67051"/>
    <w:rsid w:val="00C67BD1"/>
    <w:rsid w:val="00C867A5"/>
    <w:rsid w:val="00CA01F9"/>
    <w:rsid w:val="00CA57BC"/>
    <w:rsid w:val="00CB6FEC"/>
    <w:rsid w:val="00CD3934"/>
    <w:rsid w:val="00CE14A3"/>
    <w:rsid w:val="00CE428B"/>
    <w:rsid w:val="00D666CF"/>
    <w:rsid w:val="00D80FD9"/>
    <w:rsid w:val="00D83ED8"/>
    <w:rsid w:val="00DA0DDA"/>
    <w:rsid w:val="00E226EE"/>
    <w:rsid w:val="00E66793"/>
    <w:rsid w:val="00EB7A2F"/>
    <w:rsid w:val="00F24B4D"/>
    <w:rsid w:val="00F83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862668"/>
  <w14:defaultImageDpi w14:val="300"/>
  <w15:docId w15:val="{242273AB-7873-4D72-B91C-600CAC98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867A5"/>
    <w:pPr>
      <w:suppressAutoHyphens/>
      <w:spacing w:after="200" w:line="276"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70EE6"/>
    <w:pPr>
      <w:keepNext/>
      <w:keepLines/>
      <w:suppressAutoHyphens w:val="0"/>
      <w:spacing w:before="480" w:after="0" w:line="480" w:lineRule="auto"/>
      <w:jc w:val="center"/>
      <w:outlineLvl w:val="0"/>
    </w:pPr>
    <w:rPr>
      <w:rFonts w:eastAsiaTheme="majorEastAsia" w:cstheme="majorBidi"/>
      <w:b/>
      <w:bCs/>
      <w:sz w:val="24"/>
      <w:szCs w:val="32"/>
    </w:rPr>
  </w:style>
  <w:style w:type="paragraph" w:styleId="Heading2">
    <w:name w:val="heading 2"/>
    <w:basedOn w:val="Normal"/>
    <w:next w:val="Normal"/>
    <w:link w:val="Heading2Char"/>
    <w:autoRedefine/>
    <w:uiPriority w:val="9"/>
    <w:unhideWhenUsed/>
    <w:qFormat/>
    <w:rsid w:val="00770EE6"/>
    <w:pPr>
      <w:keepNext/>
      <w:keepLines/>
      <w:suppressAutoHyphens w:val="0"/>
      <w:spacing w:after="0" w:line="480" w:lineRule="auto"/>
      <w:contextualSpacing/>
      <w:jc w:val="center"/>
      <w:outlineLvl w:val="1"/>
    </w:pPr>
    <w:rPr>
      <w:rFonts w:eastAsiaTheme="majorEastAsia"/>
      <w:b/>
      <w:bCs/>
      <w:sz w:val="24"/>
      <w:szCs w:val="26"/>
    </w:rPr>
  </w:style>
  <w:style w:type="paragraph" w:styleId="Heading3">
    <w:name w:val="heading 3"/>
    <w:basedOn w:val="Normal"/>
    <w:next w:val="Normal"/>
    <w:link w:val="Heading3Char"/>
    <w:uiPriority w:val="9"/>
    <w:unhideWhenUsed/>
    <w:qFormat/>
    <w:rsid w:val="00770EE6"/>
    <w:pPr>
      <w:keepNext/>
      <w:keepLines/>
      <w:suppressAutoHyphens w:val="0"/>
      <w:spacing w:after="0" w:line="480" w:lineRule="auto"/>
      <w:contextualSpacing/>
      <w:outlineLvl w:val="2"/>
    </w:pPr>
    <w:rPr>
      <w:rFonts w:eastAsiaTheme="majorEastAsia"/>
      <w:b/>
      <w:bCs/>
      <w:sz w:val="24"/>
      <w:szCs w:val="24"/>
    </w:rPr>
  </w:style>
  <w:style w:type="paragraph" w:styleId="Heading4">
    <w:name w:val="heading 4"/>
    <w:basedOn w:val="Normal"/>
    <w:next w:val="Normal"/>
    <w:link w:val="Heading4Char"/>
    <w:uiPriority w:val="9"/>
    <w:unhideWhenUsed/>
    <w:qFormat/>
    <w:rsid w:val="00770EE6"/>
    <w:pPr>
      <w:keepNext/>
      <w:keepLines/>
      <w:suppressAutoHyphens w:val="0"/>
      <w:spacing w:after="0" w:line="480" w:lineRule="auto"/>
      <w:ind w:firstLine="720"/>
      <w:contextualSpacing/>
      <w:outlineLvl w:val="3"/>
    </w:pPr>
    <w:rPr>
      <w:rFonts w:eastAsiaTheme="majorEastAsia" w:cstheme="majorBidi"/>
      <w:b/>
      <w:bCs/>
      <w:iCs/>
      <w:sz w:val="24"/>
      <w:szCs w:val="24"/>
    </w:rPr>
  </w:style>
  <w:style w:type="paragraph" w:styleId="Heading5">
    <w:name w:val="heading 5"/>
    <w:basedOn w:val="Normal"/>
    <w:next w:val="Normal"/>
    <w:link w:val="Heading5Char"/>
    <w:uiPriority w:val="9"/>
    <w:unhideWhenUsed/>
    <w:qFormat/>
    <w:rsid w:val="00770EE6"/>
    <w:pPr>
      <w:keepNext/>
      <w:keepLines/>
      <w:suppressAutoHyphens w:val="0"/>
      <w:spacing w:before="200" w:after="0" w:line="480" w:lineRule="auto"/>
      <w:outlineLvl w:val="4"/>
    </w:pPr>
    <w:rPr>
      <w:rFonts w:eastAsiaTheme="majorEastAsia" w:cstheme="majorBidi"/>
      <w:b/>
      <w:i/>
      <w:sz w:val="24"/>
      <w:szCs w:val="24"/>
    </w:rPr>
  </w:style>
  <w:style w:type="paragraph" w:styleId="Heading6">
    <w:name w:val="heading 6"/>
    <w:basedOn w:val="Normal"/>
    <w:next w:val="Normal"/>
    <w:link w:val="Heading6Char"/>
    <w:uiPriority w:val="9"/>
    <w:unhideWhenUsed/>
    <w:qFormat/>
    <w:rsid w:val="00770EE6"/>
    <w:pPr>
      <w:keepNext/>
      <w:keepLines/>
      <w:suppressAutoHyphens w:val="0"/>
      <w:spacing w:before="200" w:after="0" w:line="480" w:lineRule="auto"/>
      <w:outlineLvl w:val="5"/>
    </w:pPr>
    <w:rPr>
      <w:rFonts w:eastAsiaTheme="majorEastAsia" w:cstheme="majorBid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EE6"/>
    <w:rPr>
      <w:rFonts w:ascii="Times New Roman" w:eastAsiaTheme="majorEastAsia" w:hAnsi="Times New Roman" w:cstheme="majorBidi"/>
      <w:b/>
      <w:bCs/>
      <w:szCs w:val="32"/>
    </w:rPr>
  </w:style>
  <w:style w:type="character" w:customStyle="1" w:styleId="Heading2Char">
    <w:name w:val="Heading 2 Char"/>
    <w:basedOn w:val="DefaultParagraphFont"/>
    <w:link w:val="Heading2"/>
    <w:uiPriority w:val="9"/>
    <w:rsid w:val="00770EE6"/>
    <w:rPr>
      <w:rFonts w:ascii="Times New Roman" w:eastAsiaTheme="majorEastAsia" w:hAnsi="Times New Roman" w:cs="Times New Roman"/>
      <w:b/>
      <w:bCs/>
      <w:szCs w:val="26"/>
    </w:rPr>
  </w:style>
  <w:style w:type="character" w:customStyle="1" w:styleId="Heading3Char">
    <w:name w:val="Heading 3 Char"/>
    <w:basedOn w:val="DefaultParagraphFont"/>
    <w:link w:val="Heading3"/>
    <w:uiPriority w:val="9"/>
    <w:rsid w:val="00770EE6"/>
    <w:rPr>
      <w:rFonts w:ascii="Times New Roman" w:eastAsiaTheme="majorEastAsia" w:hAnsi="Times New Roman" w:cs="Times New Roman"/>
      <w:b/>
      <w:bCs/>
    </w:rPr>
  </w:style>
  <w:style w:type="character" w:customStyle="1" w:styleId="Heading4Char">
    <w:name w:val="Heading 4 Char"/>
    <w:basedOn w:val="DefaultParagraphFont"/>
    <w:link w:val="Heading4"/>
    <w:uiPriority w:val="9"/>
    <w:rsid w:val="00770EE6"/>
    <w:rPr>
      <w:rFonts w:ascii="Times New Roman" w:eastAsiaTheme="majorEastAsia" w:hAnsi="Times New Roman" w:cstheme="majorBidi"/>
      <w:b/>
      <w:bCs/>
      <w:iCs/>
    </w:rPr>
  </w:style>
  <w:style w:type="character" w:customStyle="1" w:styleId="Heading5Char">
    <w:name w:val="Heading 5 Char"/>
    <w:basedOn w:val="DefaultParagraphFont"/>
    <w:link w:val="Heading5"/>
    <w:uiPriority w:val="9"/>
    <w:rsid w:val="00770EE6"/>
    <w:rPr>
      <w:rFonts w:ascii="Times New Roman" w:eastAsiaTheme="majorEastAsia" w:hAnsi="Times New Roman" w:cstheme="majorBidi"/>
      <w:b/>
      <w:i/>
    </w:rPr>
  </w:style>
  <w:style w:type="character" w:customStyle="1" w:styleId="Heading6Char">
    <w:name w:val="Heading 6 Char"/>
    <w:basedOn w:val="DefaultParagraphFont"/>
    <w:link w:val="Heading6"/>
    <w:uiPriority w:val="9"/>
    <w:rsid w:val="00770EE6"/>
    <w:rPr>
      <w:rFonts w:ascii="Times New Roman" w:eastAsiaTheme="majorEastAsia" w:hAnsi="Times New Roman" w:cstheme="majorBidi"/>
      <w:i/>
      <w:iCs/>
    </w:rPr>
  </w:style>
  <w:style w:type="character" w:styleId="Hyperlink">
    <w:name w:val="Hyperlink"/>
    <w:basedOn w:val="DefaultParagraphFont"/>
    <w:uiPriority w:val="99"/>
    <w:rsid w:val="00C867A5"/>
  </w:style>
  <w:style w:type="paragraph" w:styleId="Header">
    <w:name w:val="header"/>
    <w:basedOn w:val="Normal"/>
    <w:link w:val="HeaderChar"/>
    <w:rsid w:val="00C867A5"/>
    <w:pPr>
      <w:tabs>
        <w:tab w:val="center" w:pos="4680"/>
        <w:tab w:val="right" w:pos="9360"/>
      </w:tabs>
      <w:spacing w:after="0" w:line="240" w:lineRule="auto"/>
    </w:pPr>
  </w:style>
  <w:style w:type="character" w:customStyle="1" w:styleId="HeaderChar">
    <w:name w:val="Header Char"/>
    <w:basedOn w:val="DefaultParagraphFont"/>
    <w:link w:val="Header"/>
    <w:rsid w:val="00C867A5"/>
    <w:rPr>
      <w:rFonts w:ascii="Times New Roman" w:eastAsia="Times New Roman" w:hAnsi="Times New Roman" w:cs="Times New Roman"/>
      <w:sz w:val="20"/>
      <w:szCs w:val="20"/>
    </w:rPr>
  </w:style>
  <w:style w:type="paragraph" w:styleId="Footer">
    <w:name w:val="footer"/>
    <w:basedOn w:val="Normal"/>
    <w:link w:val="FooterChar"/>
    <w:rsid w:val="00C867A5"/>
    <w:pPr>
      <w:tabs>
        <w:tab w:val="center" w:pos="4680"/>
        <w:tab w:val="right" w:pos="9360"/>
      </w:tabs>
      <w:spacing w:after="0" w:line="240" w:lineRule="auto"/>
    </w:pPr>
  </w:style>
  <w:style w:type="character" w:customStyle="1" w:styleId="FooterChar">
    <w:name w:val="Footer Char"/>
    <w:basedOn w:val="DefaultParagraphFont"/>
    <w:link w:val="Footer"/>
    <w:rsid w:val="00C867A5"/>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C867A5"/>
  </w:style>
  <w:style w:type="paragraph" w:styleId="BalloonText">
    <w:name w:val="Balloon Text"/>
    <w:basedOn w:val="Normal"/>
    <w:link w:val="BalloonTextChar"/>
    <w:uiPriority w:val="99"/>
    <w:semiHidden/>
    <w:unhideWhenUsed/>
    <w:rsid w:val="00C867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67A5"/>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C867A5"/>
    <w:rPr>
      <w:sz w:val="18"/>
      <w:szCs w:val="18"/>
    </w:rPr>
  </w:style>
  <w:style w:type="paragraph" w:styleId="CommentText">
    <w:name w:val="annotation text"/>
    <w:basedOn w:val="Normal"/>
    <w:link w:val="CommentTextChar"/>
    <w:uiPriority w:val="99"/>
    <w:semiHidden/>
    <w:unhideWhenUsed/>
    <w:rsid w:val="00C867A5"/>
    <w:pPr>
      <w:spacing w:line="240" w:lineRule="auto"/>
    </w:pPr>
    <w:rPr>
      <w:sz w:val="24"/>
      <w:szCs w:val="24"/>
    </w:rPr>
  </w:style>
  <w:style w:type="character" w:customStyle="1" w:styleId="CommentTextChar">
    <w:name w:val="Comment Text Char"/>
    <w:basedOn w:val="DefaultParagraphFont"/>
    <w:link w:val="CommentText"/>
    <w:uiPriority w:val="99"/>
    <w:semiHidden/>
    <w:rsid w:val="00C867A5"/>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C867A5"/>
    <w:rPr>
      <w:b/>
      <w:bCs/>
      <w:sz w:val="20"/>
      <w:szCs w:val="20"/>
    </w:rPr>
  </w:style>
  <w:style w:type="character" w:customStyle="1" w:styleId="CommentSubjectChar">
    <w:name w:val="Comment Subject Char"/>
    <w:basedOn w:val="CommentTextChar"/>
    <w:link w:val="CommentSubject"/>
    <w:uiPriority w:val="99"/>
    <w:semiHidden/>
    <w:rsid w:val="00C867A5"/>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867A5"/>
    <w:rPr>
      <w:color w:val="800080" w:themeColor="followedHyperlink"/>
      <w:u w:val="single"/>
    </w:rPr>
  </w:style>
  <w:style w:type="paragraph" w:styleId="ListParagraph">
    <w:name w:val="List Paragraph"/>
    <w:basedOn w:val="Normal"/>
    <w:uiPriority w:val="34"/>
    <w:qFormat/>
    <w:rsid w:val="00097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2010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3.xml"/><Relationship Id="rId20" Type="http://schemas.openxmlformats.org/officeDocument/2006/relationships/hyperlink" Target="http://www.edrev.info/contribute.html" TargetMode="External"/><Relationship Id="rId21" Type="http://schemas.openxmlformats.org/officeDocument/2006/relationships/hyperlink" Target="https://www.facebook.com/pages/Education-Review/178358222192644"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4.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header" Target="header5.xml"/><Relationship Id="rId15" Type="http://schemas.openxmlformats.org/officeDocument/2006/relationships/footer" Target="footer4.xml"/><Relationship Id="rId16" Type="http://schemas.openxmlformats.org/officeDocument/2006/relationships/image" Target="media/image2.jpeg"/><Relationship Id="rId17" Type="http://schemas.openxmlformats.org/officeDocument/2006/relationships/image" Target="media/image20.jpeg"/><Relationship Id="rId18" Type="http://schemas.openxmlformats.org/officeDocument/2006/relationships/image" Target="media/image1.jpg"/><Relationship Id="rId19" Type="http://schemas.openxmlformats.org/officeDocument/2006/relationships/image" Target="media/image3.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2278</Words>
  <Characters>12988</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Libell</dc:creator>
  <cp:keywords/>
  <dc:description/>
  <cp:lastModifiedBy>Microsoft Office User</cp:lastModifiedBy>
  <cp:revision>9</cp:revision>
  <dcterms:created xsi:type="dcterms:W3CDTF">2017-05-29T01:28:00Z</dcterms:created>
  <dcterms:modified xsi:type="dcterms:W3CDTF">2017-05-29T12:21:00Z</dcterms:modified>
</cp:coreProperties>
</file>