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32" w:rsidRPr="005B482D" w:rsidRDefault="009B0732" w:rsidP="009B0732">
      <w:pPr>
        <w:tabs>
          <w:tab w:val="right" w:pos="9360"/>
        </w:tabs>
        <w:spacing w:after="0"/>
        <w:ind w:right="-180"/>
        <w:rPr>
          <w:rFonts w:ascii="Garamond" w:hAnsi="Garamond"/>
          <w:i/>
          <w:color w:val="C94909"/>
          <w:sz w:val="24"/>
          <w:szCs w:val="24"/>
        </w:rPr>
      </w:pPr>
      <w:r w:rsidRPr="005B482D">
        <w:rPr>
          <w:rFonts w:ascii="Garamond" w:hAnsi="Garamond"/>
          <w:sz w:val="24"/>
          <w:szCs w:val="24"/>
          <w:highlight w:val="cyan"/>
        </w:rPr>
        <w:t>EdRev will insert date</w:t>
      </w:r>
      <w:bookmarkStart w:id="0" w:name="_GoBack"/>
      <w:bookmarkEnd w:id="0"/>
      <w:r w:rsidRPr="005B482D">
        <w:rPr>
          <w:rFonts w:ascii="Garamond" w:hAnsi="Garamond"/>
          <w:sz w:val="24"/>
          <w:szCs w:val="24"/>
        </w:rPr>
        <w:tab/>
        <w:t>ISSN 1094-5296</w:t>
      </w:r>
    </w:p>
    <w:p w:rsidR="009B0732" w:rsidRPr="005B482D" w:rsidRDefault="009B0732" w:rsidP="009B0732">
      <w:pPr>
        <w:spacing w:after="0"/>
        <w:ind w:right="-180"/>
        <w:rPr>
          <w:rFonts w:ascii="Garamond" w:hAnsi="Garamond"/>
          <w:sz w:val="24"/>
          <w:szCs w:val="24"/>
        </w:rPr>
      </w:pPr>
    </w:p>
    <w:tbl>
      <w:tblPr>
        <w:tblW w:w="9360" w:type="dxa"/>
        <w:tblInd w:w="108" w:type="dxa"/>
        <w:shd w:val="clear" w:color="auto" w:fill="FFE645"/>
        <w:tblLayout w:type="fixed"/>
        <w:tblLook w:val="0000" w:firstRow="0" w:lastRow="0" w:firstColumn="0" w:lastColumn="0" w:noHBand="0" w:noVBand="0"/>
      </w:tblPr>
      <w:tblGrid>
        <w:gridCol w:w="9360"/>
      </w:tblGrid>
      <w:tr w:rsidR="009B0732" w:rsidRPr="005B482D" w:rsidTr="00C63333">
        <w:tc>
          <w:tcPr>
            <w:tcW w:w="9360" w:type="dxa"/>
            <w:shd w:val="clear" w:color="auto" w:fill="FFE645"/>
          </w:tcPr>
          <w:p w:rsidR="009B0732" w:rsidRPr="005B482D" w:rsidRDefault="009B0732" w:rsidP="00C63333">
            <w:pPr>
              <w:spacing w:after="0" w:line="240" w:lineRule="auto"/>
              <w:rPr>
                <w:rFonts w:ascii="Garamond" w:hAnsi="Garamond"/>
                <w:bCs/>
                <w:spacing w:val="6"/>
                <w:sz w:val="24"/>
                <w:szCs w:val="24"/>
              </w:rPr>
            </w:pPr>
          </w:p>
          <w:p w:rsidR="009B0732" w:rsidRPr="005B482D" w:rsidRDefault="00636596" w:rsidP="00C63333">
            <w:pPr>
              <w:spacing w:after="0" w:line="240" w:lineRule="auto"/>
              <w:rPr>
                <w:rFonts w:ascii="Garamond" w:hAnsi="Garamond"/>
                <w:sz w:val="24"/>
                <w:szCs w:val="24"/>
              </w:rPr>
            </w:pPr>
            <w:r w:rsidRPr="00636596">
              <w:rPr>
                <w:rFonts w:ascii="Garamond" w:hAnsi="Garamond"/>
                <w:b/>
                <w:bCs/>
                <w:sz w:val="28"/>
                <w:szCs w:val="28"/>
                <w:highlight w:val="cyan"/>
              </w:rPr>
              <w:t xml:space="preserve">Holme, J. J., &amp; Finnigan, K. S. (2018). </w:t>
            </w:r>
            <w:r w:rsidRPr="00636596">
              <w:rPr>
                <w:rFonts w:ascii="Garamond" w:hAnsi="Garamond"/>
                <w:b/>
                <w:bCs/>
                <w:i/>
                <w:sz w:val="28"/>
                <w:szCs w:val="28"/>
                <w:highlight w:val="cyan"/>
              </w:rPr>
              <w:t>Striving in common: A regional equity framework for urban schools.</w:t>
            </w:r>
            <w:r w:rsidRPr="00636596">
              <w:rPr>
                <w:rFonts w:ascii="Garamond" w:hAnsi="Garamond"/>
                <w:b/>
                <w:bCs/>
                <w:sz w:val="28"/>
                <w:szCs w:val="28"/>
                <w:highlight w:val="cyan"/>
              </w:rPr>
              <w:t xml:space="preserve"> Harvard Education Press.</w:t>
            </w:r>
          </w:p>
          <w:p w:rsidR="009B0732" w:rsidRPr="005B482D" w:rsidRDefault="009B0732" w:rsidP="00C63333">
            <w:pPr>
              <w:spacing w:after="0" w:line="240" w:lineRule="auto"/>
              <w:rPr>
                <w:rFonts w:ascii="Garamond" w:hAnsi="Garamond"/>
                <w:sz w:val="24"/>
                <w:szCs w:val="24"/>
              </w:rPr>
            </w:pPr>
            <w:r w:rsidRPr="005B482D">
              <w:rPr>
                <w:rFonts w:ascii="Garamond" w:hAnsi="Garamond"/>
                <w:sz w:val="24"/>
                <w:szCs w:val="24"/>
              </w:rPr>
              <w:t xml:space="preserve">Pp. </w:t>
            </w:r>
            <w:r w:rsidR="00636596">
              <w:rPr>
                <w:rFonts w:ascii="Garamond" w:hAnsi="Garamond"/>
                <w:sz w:val="24"/>
                <w:szCs w:val="24"/>
                <w:highlight w:val="cyan"/>
              </w:rPr>
              <w:t>168</w:t>
            </w:r>
            <w:r w:rsidRPr="005B482D">
              <w:rPr>
                <w:rFonts w:ascii="Garamond" w:hAnsi="Garamond"/>
                <w:sz w:val="24"/>
                <w:szCs w:val="24"/>
              </w:rPr>
              <w:t xml:space="preserve">                                                                                 ISBN: </w:t>
            </w:r>
            <w:r w:rsidR="00636596" w:rsidRPr="00636596">
              <w:rPr>
                <w:rFonts w:ascii="Garamond" w:hAnsi="Garamond"/>
                <w:sz w:val="24"/>
                <w:szCs w:val="24"/>
              </w:rPr>
              <w:t>978-1-68253-252-2</w:t>
            </w:r>
          </w:p>
          <w:p w:rsidR="009B0732" w:rsidRPr="005B482D" w:rsidRDefault="009B0732" w:rsidP="00C63333">
            <w:pPr>
              <w:spacing w:after="0" w:line="240" w:lineRule="auto"/>
              <w:rPr>
                <w:rFonts w:ascii="Garamond" w:hAnsi="Garamond"/>
                <w:sz w:val="24"/>
                <w:szCs w:val="24"/>
              </w:rPr>
            </w:pPr>
            <w:r w:rsidRPr="005B482D">
              <w:rPr>
                <w:rFonts w:ascii="Garamond" w:hAnsi="Garamond"/>
                <w:sz w:val="24"/>
                <w:szCs w:val="24"/>
              </w:rPr>
              <w:t xml:space="preserve">               </w:t>
            </w:r>
          </w:p>
        </w:tc>
      </w:tr>
    </w:tbl>
    <w:p w:rsidR="009B0732" w:rsidRPr="005B482D" w:rsidRDefault="009B0732" w:rsidP="009B0732">
      <w:pPr>
        <w:rPr>
          <w:rFonts w:ascii="Garamond" w:hAnsi="Garamond"/>
          <w:sz w:val="24"/>
          <w:szCs w:val="24"/>
        </w:rPr>
        <w:sectPr w:rsidR="009B0732" w:rsidRPr="005B482D" w:rsidSect="008C4722">
          <w:headerReference w:type="even" r:id="rId8"/>
          <w:headerReference w:type="default" r:id="rId9"/>
          <w:headerReference w:type="first" r:id="rId10"/>
          <w:footerReference w:type="first" r:id="rId11"/>
          <w:pgSz w:w="12240" w:h="15840"/>
          <w:pgMar w:top="1440" w:right="1440" w:bottom="1440" w:left="1440" w:header="720" w:footer="720" w:gutter="0"/>
          <w:cols w:space="720"/>
          <w:titlePg/>
          <w:docGrid w:linePitch="600" w:charSpace="36864"/>
        </w:sectPr>
      </w:pPr>
    </w:p>
    <w:p w:rsidR="0075381F" w:rsidRDefault="0075381F" w:rsidP="009B0732">
      <w:pPr>
        <w:spacing w:line="240" w:lineRule="auto"/>
        <w:contextualSpacing/>
        <w:rPr>
          <w:rFonts w:ascii="Garamond" w:hAnsi="Garamond"/>
          <w:b/>
          <w:sz w:val="24"/>
          <w:szCs w:val="24"/>
        </w:rPr>
      </w:pPr>
    </w:p>
    <w:p w:rsidR="009B0732" w:rsidRPr="0075381F" w:rsidRDefault="009B0732" w:rsidP="0075381F">
      <w:pPr>
        <w:rPr>
          <w:rFonts w:ascii="Garamond" w:hAnsi="Garamond"/>
          <w:sz w:val="24"/>
          <w:szCs w:val="24"/>
        </w:rPr>
        <w:sectPr w:rsidR="009B0732" w:rsidRPr="0075381F" w:rsidSect="00EB7A2F">
          <w:headerReference w:type="default" r:id="rId12"/>
          <w:footerReference w:type="even" r:id="rId13"/>
          <w:footerReference w:type="default" r:id="rId14"/>
          <w:headerReference w:type="first" r:id="rId15"/>
          <w:footerReference w:type="first" r:id="rId16"/>
          <w:type w:val="continuous"/>
          <w:pgSz w:w="12240" w:h="15840"/>
          <w:pgMar w:top="1440" w:right="1350" w:bottom="1440" w:left="1440" w:header="720" w:footer="720" w:gutter="0"/>
          <w:cols w:space="720"/>
          <w:titlePg/>
          <w:docGrid w:linePitch="600" w:charSpace="36864"/>
        </w:sectPr>
      </w:pPr>
    </w:p>
    <w:p w:rsidR="009B0732" w:rsidRPr="00EB7A2F" w:rsidRDefault="009B0732" w:rsidP="009B0732">
      <w:pPr>
        <w:spacing w:line="240" w:lineRule="auto"/>
        <w:contextualSpacing/>
        <w:rPr>
          <w:rFonts w:ascii="Garamond" w:hAnsi="Garamond"/>
          <w:b/>
          <w:sz w:val="24"/>
          <w:szCs w:val="24"/>
        </w:rPr>
      </w:pPr>
      <w:r w:rsidRPr="00EB7A2F">
        <w:rPr>
          <w:rFonts w:ascii="Garamond" w:hAnsi="Garamond"/>
          <w:b/>
          <w:sz w:val="24"/>
          <w:szCs w:val="24"/>
        </w:rPr>
        <w:t xml:space="preserve">Reviewed by </w:t>
      </w:r>
      <w:r w:rsidR="00636596" w:rsidRPr="00636596">
        <w:rPr>
          <w:rFonts w:ascii="Garamond" w:hAnsi="Garamond"/>
          <w:b/>
          <w:sz w:val="24"/>
          <w:szCs w:val="24"/>
          <w:highlight w:val="cyan"/>
        </w:rPr>
        <w:t>Akua Nkansah-Amankra</w:t>
      </w:r>
    </w:p>
    <w:p w:rsidR="009B0732" w:rsidRPr="00EB7A2F" w:rsidRDefault="00636596" w:rsidP="009B0732">
      <w:pPr>
        <w:spacing w:after="0" w:line="240" w:lineRule="auto"/>
        <w:contextualSpacing/>
        <w:rPr>
          <w:rFonts w:ascii="Garamond" w:hAnsi="Garamond"/>
          <w:b/>
          <w:sz w:val="24"/>
          <w:szCs w:val="24"/>
          <w:lang w:val="pt-BR"/>
        </w:rPr>
      </w:pPr>
      <w:r>
        <w:rPr>
          <w:rFonts w:ascii="Garamond" w:hAnsi="Garamond"/>
          <w:b/>
          <w:sz w:val="24"/>
          <w:szCs w:val="24"/>
          <w:highlight w:val="cyan"/>
        </w:rPr>
        <w:t>University of Southern California</w:t>
      </w:r>
    </w:p>
    <w:p w:rsidR="009B0732" w:rsidRPr="00EB7A2F" w:rsidRDefault="009B0732" w:rsidP="009B0732">
      <w:pPr>
        <w:spacing w:after="0" w:line="240" w:lineRule="auto"/>
        <w:contextualSpacing/>
        <w:rPr>
          <w:rFonts w:ascii="Garamond" w:hAnsi="Garamond"/>
          <w:b/>
          <w:bCs/>
          <w:sz w:val="24"/>
          <w:szCs w:val="24"/>
        </w:rPr>
      </w:pPr>
      <w:r w:rsidRPr="005B482D">
        <w:rPr>
          <w:rFonts w:ascii="Garamond" w:hAnsi="Garamond"/>
          <w:noProof/>
          <w:color w:val="000000"/>
          <w:sz w:val="24"/>
          <w:szCs w:val="24"/>
        </w:rPr>
        <mc:AlternateContent>
          <mc:Choice Requires="wps">
            <w:drawing>
              <wp:anchor distT="0" distB="0" distL="114300" distR="114300" simplePos="0" relativeHeight="251660288" behindDoc="1" locked="0" layoutInCell="1" allowOverlap="1" wp14:anchorId="38701287" wp14:editId="3E838DF3">
                <wp:simplePos x="0" y="0"/>
                <wp:positionH relativeFrom="column">
                  <wp:posOffset>3030855</wp:posOffset>
                </wp:positionH>
                <wp:positionV relativeFrom="paragraph">
                  <wp:posOffset>219710</wp:posOffset>
                </wp:positionV>
                <wp:extent cx="2867025" cy="4800600"/>
                <wp:effectExtent l="0" t="0" r="15875" b="12700"/>
                <wp:wrapTight wrapText="bothSides">
                  <wp:wrapPolygon edited="0">
                    <wp:start x="0" y="0"/>
                    <wp:lineTo x="0" y="21600"/>
                    <wp:lineTo x="21624" y="21600"/>
                    <wp:lineTo x="2162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867025" cy="48006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B0732" w:rsidRPr="00D83ED8" w:rsidRDefault="00636596" w:rsidP="009B0732">
                            <w:pPr>
                              <w:rPr>
                                <w:rFonts w:ascii="Garamond" w:hAnsi="Garamond"/>
                                <w:sz w:val="24"/>
                                <w:szCs w:val="24"/>
                              </w:rPr>
                            </w:pPr>
                            <w:r>
                              <w:rPr>
                                <w:rFonts w:ascii="Garamond" w:hAnsi="Garamond"/>
                                <w:noProof/>
                                <w:sz w:val="24"/>
                                <w:szCs w:val="24"/>
                              </w:rPr>
                              <w:drawing>
                                <wp:inline distT="0" distB="0" distL="0" distR="0">
                                  <wp:extent cx="2684145" cy="4027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iving in Common pic.jpg"/>
                                          <pic:cNvPicPr/>
                                        </pic:nvPicPr>
                                        <pic:blipFill>
                                          <a:blip r:embed="rId17">
                                            <a:extLst>
                                              <a:ext uri="{28A0092B-C50C-407E-A947-70E740481C1C}">
                                                <a14:useLocalDpi xmlns:a14="http://schemas.microsoft.com/office/drawing/2010/main" val="0"/>
                                              </a:ext>
                                            </a:extLst>
                                          </a:blip>
                                          <a:stretch>
                                            <a:fillRect/>
                                          </a:stretch>
                                        </pic:blipFill>
                                        <pic:spPr>
                                          <a:xfrm>
                                            <a:off x="0" y="0"/>
                                            <a:ext cx="2684145" cy="4027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01287" id="_x0000_t202" coordsize="21600,21600" o:spt="202" path="m,l,21600r21600,l21600,xe">
                <v:stroke joinstyle="miter"/>
                <v:path gradientshapeok="t" o:connecttype="rect"/>
              </v:shapetype>
              <v:shape id="Text Box 5" o:spid="_x0000_s1026" type="#_x0000_t202" style="position:absolute;margin-left:238.65pt;margin-top:17.3pt;width:225.75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" filled="f" strokecolor="black [3213]">
                <v:textbox>
                  <w:txbxContent>
                    <w:p w:rsidR="009B0732" w:rsidRPr="00D83ED8" w:rsidRDefault="00636596" w:rsidP="009B0732">
                      <w:pPr>
                        <w:rPr>
                          <w:rFonts w:ascii="Garamond" w:hAnsi="Garamond"/>
                          <w:sz w:val="24"/>
                          <w:szCs w:val="24"/>
                        </w:rPr>
                      </w:pPr>
                      <w:r>
                        <w:rPr>
                          <w:rFonts w:ascii="Garamond" w:hAnsi="Garamond"/>
                          <w:noProof/>
                          <w:sz w:val="24"/>
                          <w:szCs w:val="24"/>
                        </w:rPr>
                        <w:drawing>
                          <wp:inline distT="0" distB="0" distL="0" distR="0">
                            <wp:extent cx="2684145" cy="4027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iving in Common pic.jpg"/>
                                    <pic:cNvPicPr/>
                                  </pic:nvPicPr>
                                  <pic:blipFill>
                                    <a:blip r:embed="rId17">
                                      <a:extLst>
                                        <a:ext uri="{28A0092B-C50C-407E-A947-70E740481C1C}">
                                          <a14:useLocalDpi xmlns:a14="http://schemas.microsoft.com/office/drawing/2010/main" val="0"/>
                                        </a:ext>
                                      </a:extLst>
                                    </a:blip>
                                    <a:stretch>
                                      <a:fillRect/>
                                    </a:stretch>
                                  </pic:blipFill>
                                  <pic:spPr>
                                    <a:xfrm>
                                      <a:off x="0" y="0"/>
                                      <a:ext cx="2684145" cy="4027805"/>
                                    </a:xfrm>
                                    <a:prstGeom prst="rect">
                                      <a:avLst/>
                                    </a:prstGeom>
                                  </pic:spPr>
                                </pic:pic>
                              </a:graphicData>
                            </a:graphic>
                          </wp:inline>
                        </w:drawing>
                      </w:r>
                    </w:p>
                  </w:txbxContent>
                </v:textbox>
                <w10:wrap type="tight"/>
              </v:shape>
            </w:pict>
          </mc:Fallback>
        </mc:AlternateContent>
      </w:r>
      <w:r w:rsidR="00E94FE3">
        <w:rPr>
          <w:rFonts w:ascii="Garamond" w:hAnsi="Garamond"/>
          <w:b/>
          <w:sz w:val="24"/>
          <w:szCs w:val="24"/>
          <w:highlight w:val="cyan"/>
          <w:lang w:val="pt-BR"/>
        </w:rPr>
        <w:t xml:space="preserve">United </w:t>
      </w:r>
      <w:proofErr w:type="spellStart"/>
      <w:r w:rsidR="00E94FE3">
        <w:rPr>
          <w:rFonts w:ascii="Garamond" w:hAnsi="Garamond"/>
          <w:b/>
          <w:sz w:val="24"/>
          <w:szCs w:val="24"/>
          <w:highlight w:val="cyan"/>
          <w:lang w:val="pt-BR"/>
        </w:rPr>
        <w:t>States</w:t>
      </w:r>
      <w:proofErr w:type="spellEnd"/>
    </w:p>
    <w:p w:rsidR="009B0732" w:rsidRDefault="009B0732" w:rsidP="009B0732">
      <w:pPr>
        <w:spacing w:after="0" w:line="240" w:lineRule="auto"/>
        <w:rPr>
          <w:rFonts w:ascii="Garamond" w:eastAsia="Garamond" w:hAnsi="Garamond"/>
          <w:b/>
          <w:spacing w:val="4"/>
          <w:sz w:val="28"/>
          <w:szCs w:val="28"/>
          <w:lang w:val="x-none" w:eastAsia="x-none"/>
        </w:rPr>
        <w:sectPr w:rsidR="009B0732" w:rsidSect="0037358C">
          <w:type w:val="continuous"/>
          <w:pgSz w:w="12240" w:h="15840"/>
          <w:pgMar w:top="1440" w:right="1350" w:bottom="1440" w:left="1440" w:header="720" w:footer="720" w:gutter="0"/>
          <w:cols w:space="720"/>
          <w:titlePg/>
          <w:docGrid w:linePitch="600" w:charSpace="36864"/>
        </w:sectPr>
      </w:pPr>
    </w:p>
    <w:p w:rsidR="009B0732" w:rsidRPr="005B482D" w:rsidRDefault="009B0732" w:rsidP="009B0732">
      <w:pPr>
        <w:spacing w:after="0" w:line="240" w:lineRule="auto"/>
        <w:rPr>
          <w:rFonts w:ascii="Garamond" w:eastAsia="Garamond" w:hAnsi="Garamond"/>
          <w:b/>
          <w:spacing w:val="4"/>
          <w:sz w:val="28"/>
          <w:szCs w:val="28"/>
          <w:lang w:val="x-none" w:eastAsia="x-none"/>
        </w:rPr>
      </w:pPr>
    </w:p>
    <w:p w:rsidR="009B0732" w:rsidRPr="00164121" w:rsidRDefault="00ED5E6E" w:rsidP="00B049A3">
      <w:pPr>
        <w:spacing w:after="0" w:line="240" w:lineRule="auto"/>
        <w:rPr>
          <w:rFonts w:ascii="Garamond" w:hAnsi="Garamond"/>
          <w:color w:val="000000"/>
          <w:sz w:val="12"/>
          <w:szCs w:val="12"/>
          <w:highlight w:val="cyan"/>
          <w:shd w:val="clear" w:color="auto" w:fill="FFFFFF"/>
        </w:rPr>
      </w:pPr>
      <w:r w:rsidRPr="00ED5E6E">
        <w:rPr>
          <w:rFonts w:ascii="Garamond" w:hAnsi="Garamond"/>
          <w:bCs/>
          <w:color w:val="000000"/>
          <w:sz w:val="24"/>
          <w:szCs w:val="24"/>
          <w:highlight w:val="cyan"/>
          <w:shd w:val="clear" w:color="auto" w:fill="FFFFFF"/>
        </w:rPr>
        <w:t>For the better part of the 21</w:t>
      </w:r>
      <w:r w:rsidRPr="00ED5E6E">
        <w:rPr>
          <w:rFonts w:ascii="Garamond" w:hAnsi="Garamond"/>
          <w:bCs/>
          <w:color w:val="000000"/>
          <w:sz w:val="24"/>
          <w:szCs w:val="24"/>
          <w:highlight w:val="cyan"/>
          <w:shd w:val="clear" w:color="auto" w:fill="FFFFFF"/>
          <w:vertAlign w:val="superscript"/>
        </w:rPr>
        <w:t>st</w:t>
      </w:r>
      <w:r w:rsidRPr="00ED5E6E">
        <w:rPr>
          <w:rFonts w:ascii="Garamond" w:hAnsi="Garamond"/>
          <w:bCs/>
          <w:color w:val="000000"/>
          <w:sz w:val="24"/>
          <w:szCs w:val="24"/>
          <w:highlight w:val="cyan"/>
          <w:shd w:val="clear" w:color="auto" w:fill="FFFFFF"/>
        </w:rPr>
        <w:t xml:space="preserve"> century, conversations about inequalities in K-12 academic outcomes have attributed the lower performance of marginalized urban students of color to limited student effort, low teacher quality, supposed lack of parental investment, and bureaucratic inefficiencies (Darling-Hammond, 2007). Likewise, policy solutions have focused on increasing accountability among various stakeholders, in the form of high-stakes testing, value-added models, truancy arrests, and even school closures. However, </w:t>
      </w:r>
      <w:r w:rsidRPr="00ED5E6E">
        <w:rPr>
          <w:rFonts w:ascii="Garamond" w:hAnsi="Garamond"/>
          <w:bCs/>
          <w:i/>
          <w:color w:val="000000"/>
          <w:sz w:val="24"/>
          <w:szCs w:val="24"/>
          <w:highlight w:val="cyan"/>
          <w:shd w:val="clear" w:color="auto" w:fill="FFFFFF"/>
        </w:rPr>
        <w:t>Striving in Common: A Regional Equity Framework for Urban Schools</w:t>
      </w:r>
      <w:r w:rsidRPr="00ED5E6E">
        <w:rPr>
          <w:rFonts w:ascii="Garamond" w:hAnsi="Garamond"/>
          <w:bCs/>
          <w:color w:val="000000"/>
          <w:sz w:val="24"/>
          <w:szCs w:val="24"/>
          <w:highlight w:val="cyan"/>
          <w:shd w:val="clear" w:color="auto" w:fill="FFFFFF"/>
        </w:rPr>
        <w:t xml:space="preserve"> proposes a different approach for establishing equity in education. Authors Jennifer Jellison Holme and Kara S. Finnigan argue that observed educational outcomes are the result of historical resource inequalities as well as racial and economic segregation, which have placed segregated, high-poverty districts at a continued disadvantage. Through interviews and historical analyses of 20</w:t>
      </w:r>
      <w:r w:rsidRPr="00ED5E6E">
        <w:rPr>
          <w:rFonts w:ascii="Garamond" w:hAnsi="Garamond"/>
          <w:bCs/>
          <w:color w:val="000000"/>
          <w:sz w:val="24"/>
          <w:szCs w:val="24"/>
          <w:highlight w:val="cyan"/>
          <w:shd w:val="clear" w:color="auto" w:fill="FFFFFF"/>
          <w:vertAlign w:val="superscript"/>
        </w:rPr>
        <w:t>th</w:t>
      </w:r>
      <w:r w:rsidRPr="00ED5E6E">
        <w:rPr>
          <w:rFonts w:ascii="Garamond" w:hAnsi="Garamond"/>
          <w:bCs/>
          <w:color w:val="000000"/>
          <w:sz w:val="24"/>
          <w:szCs w:val="24"/>
          <w:highlight w:val="cyan"/>
          <w:shd w:val="clear" w:color="auto" w:fill="FFFFFF"/>
        </w:rPr>
        <w:t xml:space="preserve">-century foundational housing and education policies, the authors highlight the systemic nature of regional inequality, and argue for a broader, cross-sector policy approach that transforms </w:t>
      </w:r>
      <w:r w:rsidRPr="00ED5E6E">
        <w:rPr>
          <w:rFonts w:ascii="Garamond" w:hAnsi="Garamond"/>
          <w:bCs/>
          <w:color w:val="000000"/>
          <w:sz w:val="24"/>
          <w:szCs w:val="24"/>
          <w:highlight w:val="cyan"/>
          <w:shd w:val="clear" w:color="auto" w:fill="FFFFFF"/>
        </w:rPr>
        <w:lastRenderedPageBreak/>
        <w:t>the entire education and urban reform landscape.</w:t>
      </w:r>
    </w:p>
    <w:p w:rsidR="00ED5E6E" w:rsidRDefault="00ED5E6E" w:rsidP="00ED5E6E">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In the first section, the authors use school attendance and quality data to paint a picture of the current educational landscape that is widely supported by other research studies: Black and Latinx students are more likely to attend segregated schools that are under-resourced and under-performing as compared to white students. In addition, these students of color are more likely to come from low-income households and live in segregated neighborhoods of concentrated poverty. The authors then argue that the prevailing education policy reform approach, which prioritizes accountability measures, exacerbates problems of educational equity. This approach does not challenge the underlying systems of segregation and resource inequality that created education inequities, causing low-performing schools to be further penalized. Using a political geography framework, the authors argue that rather than blaming low performing schools, the focus should be on addressing the racial and economic segregation that is at the root of the issues attacking urban schools. Essentially, resource equity in schools is hardly isolated and is in fact tied to many other aspects of urban living.</w:t>
      </w:r>
    </w:p>
    <w:p w:rsidR="00ED5E6E" w:rsidRDefault="00ED5E6E" w:rsidP="00ED5E6E">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To make their argument for a comprehensive approach to addressing education inequities, Holme and Finnigan used data from a case study that they conducted between 2008 and 2012 on inter-district integration programs in eight American cities of varying size, socioeconomic status, and racial/ethnic composition. The cities included in the study, whose school integration policies were implemented as early as 1964 and as late as 2007, were: Chicago, IL; Hartford, CT; Milwaukee, WI; Minneapolis, MN; Omaha, NE; Palo Alto, CA; Rochester, NY; and St. Louis, MO. The study showed that even as integration efforts began in cities, federal and local policies continued to systematically exclude people of color from building wealth and thus political power, thereby facilitating </w:t>
      </w:r>
      <w:r w:rsidRPr="00ED5E6E">
        <w:rPr>
          <w:rFonts w:ascii="Garamond" w:hAnsi="Garamond"/>
          <w:bCs/>
          <w:color w:val="000000"/>
          <w:sz w:val="24"/>
          <w:szCs w:val="24"/>
          <w:highlight w:val="cyan"/>
          <w:shd w:val="clear" w:color="auto" w:fill="FFFFFF"/>
        </w:rPr>
        <w:t>disparities in school resource allocations. Holme and Finnigan also discuss how Supreme Court cases helped to legitimize and entrench de facto segregation in housing and education. After tracing the development of de facto segregation, the authors review integration policies and show that integration programs as currently constructed don’t challenge these underlying systems of oppression that perpetuate patterns of unequal access. The authors use extant research as well as their own data analysis of integration programs to show that while some of these policies led to marginal improvements for some students of color, overall resources and political power continue to be concentrated geographically within rich white communities. Holme and Finnigan argue that because segregation results from rich white communities systematically isolating low-income, predominantly Black and Latinx communities (and thereby, students) from political and economic opportunities, integration can only effectively work if those white communities are willing to share resources and power.</w:t>
      </w:r>
    </w:p>
    <w:p w:rsidR="00ED5E6E" w:rsidRDefault="00ED5E6E" w:rsidP="00ED5E6E">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From their research, the authors find that while consolidating city and suburban governments was the most effective at reducing inequality, resistance from both suburban and city communities eventually undermined those efforts. Because of these local politics, they recommend a federated regional approach to school reform. Such an approach allows different cities to collaborate to address related issues of housing and school segregation and resource inequality across city boundaries, while maintaining their own sovereignty. Their vision for the uses of a federal regional equity approach includes the following: </w:t>
      </w:r>
    </w:p>
    <w:p w:rsidR="00A247CE" w:rsidRPr="00ED5E6E" w:rsidRDefault="00A247CE" w:rsidP="00ED5E6E">
      <w:pPr>
        <w:spacing w:after="0" w:line="240" w:lineRule="auto"/>
        <w:ind w:firstLine="360"/>
        <w:rPr>
          <w:rFonts w:ascii="Garamond" w:hAnsi="Garamond"/>
          <w:bCs/>
          <w:color w:val="000000"/>
          <w:sz w:val="24"/>
          <w:szCs w:val="24"/>
          <w:highlight w:val="cyan"/>
          <w:shd w:val="clear" w:color="auto" w:fill="FFFFFF"/>
        </w:rPr>
      </w:pPr>
    </w:p>
    <w:p w:rsidR="00ED5E6E" w:rsidRPr="00ED5E6E" w:rsidRDefault="00ED5E6E" w:rsidP="00A247CE">
      <w:pPr>
        <w:numPr>
          <w:ilvl w:val="0"/>
          <w:numId w:val="3"/>
        </w:numPr>
        <w:spacing w:after="0" w:line="240" w:lineRule="auto"/>
        <w:ind w:left="108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tax-base sharing in order to equitably distribute tax base growth across the whole region and reduce intra-district competition; </w:t>
      </w:r>
    </w:p>
    <w:p w:rsidR="00ED5E6E" w:rsidRPr="00ED5E6E" w:rsidRDefault="00ED5E6E" w:rsidP="00A247CE">
      <w:pPr>
        <w:numPr>
          <w:ilvl w:val="0"/>
          <w:numId w:val="3"/>
        </w:numPr>
        <w:spacing w:after="0" w:line="240" w:lineRule="auto"/>
        <w:ind w:left="108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lastRenderedPageBreak/>
        <w:t xml:space="preserve">place-based policies which provide investment and resources to high-poverty and historically marginalized communities; </w:t>
      </w:r>
    </w:p>
    <w:p w:rsidR="00ED5E6E" w:rsidRPr="00ED5E6E" w:rsidRDefault="00ED5E6E" w:rsidP="00A247CE">
      <w:pPr>
        <w:numPr>
          <w:ilvl w:val="0"/>
          <w:numId w:val="3"/>
        </w:numPr>
        <w:spacing w:after="0" w:line="240" w:lineRule="auto"/>
        <w:ind w:left="108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mobility policies to reduce racial and economic segregation of resources by fostering policies that allow people to easily move across boundary lines; </w:t>
      </w:r>
    </w:p>
    <w:p w:rsidR="00ED5E6E" w:rsidRDefault="00ED5E6E" w:rsidP="00A247CE">
      <w:pPr>
        <w:numPr>
          <w:ilvl w:val="0"/>
          <w:numId w:val="3"/>
        </w:numPr>
        <w:spacing w:after="0" w:line="240" w:lineRule="auto"/>
        <w:ind w:left="108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regional governance, which allows a group of elected representatives from all communities in the region to oversee the implementation and maintenance of the shared vision of regional equity; and </w:t>
      </w:r>
    </w:p>
    <w:p w:rsidR="00ED5E6E" w:rsidRDefault="00ED5E6E" w:rsidP="00A247CE">
      <w:pPr>
        <w:numPr>
          <w:ilvl w:val="0"/>
          <w:numId w:val="3"/>
        </w:numPr>
        <w:spacing w:after="0" w:line="240" w:lineRule="auto"/>
        <w:ind w:left="108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cross-sector approaches, “where educational policy is…pursued…in tandem with housing, transit, health, economic development, etc.” (p. 111).</w:t>
      </w:r>
    </w:p>
    <w:p w:rsidR="00ED5E6E" w:rsidRDefault="00ED5E6E" w:rsidP="00ED5E6E">
      <w:pPr>
        <w:spacing w:after="0" w:line="240" w:lineRule="auto"/>
        <w:rPr>
          <w:rFonts w:ascii="Garamond" w:hAnsi="Garamond"/>
          <w:bCs/>
          <w:color w:val="000000"/>
          <w:sz w:val="24"/>
          <w:szCs w:val="24"/>
          <w:highlight w:val="cyan"/>
          <w:shd w:val="clear" w:color="auto" w:fill="FFFFFF"/>
        </w:rPr>
      </w:pPr>
    </w:p>
    <w:p w:rsidR="00ED5E6E" w:rsidRPr="00ED5E6E" w:rsidRDefault="00ED5E6E" w:rsidP="00ED5E6E">
      <w:pPr>
        <w:spacing w:after="0" w:line="240" w:lineRule="auto"/>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The writing is compelling and accessible, and the authors re-envision policy solutions that connect equity issues across sectors of housing, education, and healthcare. Community activists and critical policy researchers have long called for cross-sector approaches long before this book, but Holme and Finnigan synthesize various sources of evidence to bolster arguments made by activists. For example, the authors build on the work of scholars like Eve L. Ewing and Natalie Y. Moore, who show how systematic discriminatory education and housing policies against Black people in Chicago created the conditions for  low academic achievement in Black schools, despite strong community support for students. Holme and Finnigan also masterfully leverage discourse, policy, and legal analysis grounded in a political geography framework, and use geospatial maps to highlight various resource inequities at the different study sites. </w:t>
      </w:r>
    </w:p>
    <w:p w:rsidR="00ED5E6E" w:rsidRPr="00ED5E6E" w:rsidRDefault="00ED5E6E" w:rsidP="00E94FE3">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Perhaps the biggest shortcoming of this book is that the authors sidestep how neoliberal ideologies inform the policies that have exacerbated inequity in education and </w:t>
      </w:r>
      <w:r w:rsidRPr="00ED5E6E">
        <w:rPr>
          <w:rFonts w:ascii="Garamond" w:hAnsi="Garamond"/>
          <w:bCs/>
          <w:color w:val="000000"/>
          <w:sz w:val="24"/>
          <w:szCs w:val="24"/>
          <w:highlight w:val="cyan"/>
          <w:shd w:val="clear" w:color="auto" w:fill="FFFFFF"/>
        </w:rPr>
        <w:t xml:space="preserve">urban environments. The last half-century has seen a surge of policies promoting deregulation, privatization of public services, and “free-market” economics, the argument being that freeing the market from government intervention will promote competition and economic growth among all aspects of social life: economics, schooling, housing, healthcare, to name a few (Blakely, 2017). In education policies, we see this logic reflected most in technical reforms that promote standardized testing and school choice under the guise of fostering competition in the education marketplace. In actuality, because a neoliberal logic does not attempt to level the playing field by addressing the effects of systematic discrimination, the minority of well-resourced rich, white people and communities continue to hoard more resources at the expense of those in low-income, racially-minoritized communities (Ross &amp; Gibson, 2007). </w:t>
      </w:r>
    </w:p>
    <w:p w:rsidR="00ED5E6E" w:rsidRPr="00ED5E6E" w:rsidRDefault="00ED5E6E" w:rsidP="00E94FE3">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With a critical lens toward neoliberalism, we start to question the sustainability of Holme and Finnigan’s race-evasive policy solutions that advocate for increased government intervention and cross-sector collaborations between suburbs and urban cities. We even see that in the regional equity programs that they discussed, the authors observed that despite the overall success of these programs, rich, white stakeholders used race-evasive language to eventually undermine these programs at the expense of Black and Brown communities. Inequities in education, housing, and healthcare are not happenstance consequences of some “broken” system, but rather inherent features of the structure itself. Therefore, it is important to center a structural analysis of the economic and political forces that have created and perpetuated these inequitable systems.  </w:t>
      </w:r>
    </w:p>
    <w:p w:rsidR="00ED5E6E" w:rsidRPr="00ED5E6E" w:rsidRDefault="00ED5E6E" w:rsidP="00E94FE3">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color w:val="000000"/>
          <w:sz w:val="24"/>
          <w:szCs w:val="24"/>
          <w:highlight w:val="cyan"/>
          <w:shd w:val="clear" w:color="auto" w:fill="FFFFFF"/>
        </w:rPr>
        <w:t xml:space="preserve">In addition, the authors seem to have a surprisingly optimistic tone about improving resource distribution, despite their (and others’) acknowledgement of how racism along with economic self-interest has created and perpetuated racially disparate outcomes in </w:t>
      </w:r>
      <w:r w:rsidRPr="00ED5E6E">
        <w:rPr>
          <w:rFonts w:ascii="Garamond" w:hAnsi="Garamond"/>
          <w:bCs/>
          <w:color w:val="000000"/>
          <w:sz w:val="24"/>
          <w:szCs w:val="24"/>
          <w:highlight w:val="cyan"/>
          <w:shd w:val="clear" w:color="auto" w:fill="FFFFFF"/>
        </w:rPr>
        <w:lastRenderedPageBreak/>
        <w:t xml:space="preserve">education. They suggest that once rich, white communities realize that resource inequities negatively impact them as well, and that resource equity is not a zero-sum game for their children, they would be more likely to participate in the systematic reform that the authors advocate for. However, racism is not as simple as an “us versus them” problem, nor is it a recent problem that has been dragged “from the far reaches of the country…[into] our national politics” (p. 128). Several critical scholars of race and education, including Derrick Bell, William F. Tate, and Gloria Ladson-Billings, have argued that racism is built into the very core of the United States. Recently, the 1619 project (2019) headed by Nikole Hannah-Jones demonstrated how U.S. market and government can be traced back to (and in many ways, is based upon) the subjugation of Black people. Racism and white supremacy figure prominently in the opposition to equitable education reforms in ways that aren’t simply a matter of converging the interests of racially minoritized people with those of white people, so a race-evasive regional equity approach will continue to fail Black and Brown communities. </w:t>
      </w:r>
    </w:p>
    <w:p w:rsidR="00ED5E6E" w:rsidRPr="00ED5E6E" w:rsidRDefault="00ED5E6E" w:rsidP="00A247CE">
      <w:pPr>
        <w:spacing w:after="0" w:line="240" w:lineRule="auto"/>
        <w:ind w:firstLine="360"/>
        <w:rPr>
          <w:rFonts w:ascii="Garamond" w:hAnsi="Garamond"/>
          <w:bCs/>
          <w:color w:val="000000"/>
          <w:sz w:val="24"/>
          <w:szCs w:val="24"/>
          <w:highlight w:val="cyan"/>
          <w:shd w:val="clear" w:color="auto" w:fill="FFFFFF"/>
        </w:rPr>
      </w:pPr>
      <w:r w:rsidRPr="00ED5E6E">
        <w:rPr>
          <w:rFonts w:ascii="Garamond" w:hAnsi="Garamond"/>
          <w:bCs/>
          <w:i/>
          <w:color w:val="000000"/>
          <w:sz w:val="24"/>
          <w:szCs w:val="24"/>
          <w:highlight w:val="cyan"/>
          <w:shd w:val="clear" w:color="auto" w:fill="FFFFFF"/>
        </w:rPr>
        <w:t xml:space="preserve">Striving in Common </w:t>
      </w:r>
      <w:r w:rsidRPr="00ED5E6E">
        <w:rPr>
          <w:rFonts w:ascii="Garamond" w:hAnsi="Garamond"/>
          <w:bCs/>
          <w:color w:val="000000"/>
          <w:sz w:val="24"/>
          <w:szCs w:val="24"/>
          <w:highlight w:val="cyan"/>
          <w:shd w:val="clear" w:color="auto" w:fill="FFFFFF"/>
        </w:rPr>
        <w:t>provides a strong argument for analyzing education inequality within the context of inequitable housing, health, and economic policies.</w:t>
      </w:r>
      <w:r w:rsidR="00A247CE">
        <w:rPr>
          <w:rFonts w:ascii="Garamond" w:hAnsi="Garamond"/>
          <w:bCs/>
          <w:color w:val="000000"/>
          <w:sz w:val="24"/>
          <w:szCs w:val="24"/>
          <w:highlight w:val="cyan"/>
          <w:shd w:val="clear" w:color="auto" w:fill="FFFFFF"/>
        </w:rPr>
        <w:t xml:space="preserve"> As the authors put it</w:t>
      </w:r>
      <w:r w:rsidRPr="00ED5E6E">
        <w:rPr>
          <w:rFonts w:ascii="Garamond" w:hAnsi="Garamond"/>
          <w:bCs/>
          <w:color w:val="000000"/>
          <w:sz w:val="24"/>
          <w:szCs w:val="24"/>
          <w:highlight w:val="cyan"/>
          <w:shd w:val="clear" w:color="auto" w:fill="FFFFFF"/>
        </w:rPr>
        <w:t xml:space="preserve">, piecemeal policy approaches to inequitable resource distribution are “like small </w:t>
      </w:r>
      <w:r w:rsidRPr="00ED5E6E">
        <w:rPr>
          <w:rFonts w:ascii="Garamond" w:hAnsi="Garamond"/>
          <w:bCs/>
          <w:color w:val="000000"/>
          <w:sz w:val="24"/>
          <w:szCs w:val="24"/>
          <w:highlight w:val="cyan"/>
          <w:shd w:val="clear" w:color="auto" w:fill="FFFFFF"/>
        </w:rPr>
        <w:t>sandbags trying to hold back a wall of water: they [are] ultimately unable to counteract the powerful economic tides” that make up the status quo (p. 18). This book could be beneficial to a wide variety of readers, including education and urban reform policymakers, researchers, educators, and potentially even community organizers interested in education reform.  Future work could expand the framework to also include criminal justice, as this system has had implications for housing, schooling, and even political power in Black and Brown neighborhoods. It would be interesting to see how this work is taken up in both the policy and academic spaces, because of the ways that it challenges commonly-held assumptions and solutions that are used in diagnosing and solving issues of education inequality. Overall, the accessible writing makes it a worthwhile read for anyone looking to understand the origins of educational inequity in the US and how to transform the system to work for the interests of all students.</w:t>
      </w:r>
    </w:p>
    <w:p w:rsidR="009B0732" w:rsidRPr="005B482D" w:rsidRDefault="009B0732" w:rsidP="00164121">
      <w:pPr>
        <w:spacing w:after="0" w:line="240" w:lineRule="auto"/>
        <w:ind w:firstLine="360"/>
        <w:rPr>
          <w:rFonts w:ascii="Garamond" w:hAnsi="Garamond"/>
          <w:color w:val="000000"/>
          <w:sz w:val="24"/>
          <w:szCs w:val="24"/>
          <w:shd w:val="clear" w:color="auto" w:fill="FFFFFF"/>
        </w:rPr>
      </w:pPr>
    </w:p>
    <w:p w:rsidR="009B0732" w:rsidRPr="00164121" w:rsidRDefault="009B0732" w:rsidP="00164121">
      <w:pPr>
        <w:spacing w:after="0" w:line="240" w:lineRule="auto"/>
        <w:ind w:firstLine="360"/>
        <w:rPr>
          <w:rFonts w:ascii="Garamond" w:hAnsi="Garamond"/>
          <w:spacing w:val="4"/>
          <w:sz w:val="12"/>
          <w:szCs w:val="12"/>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pPr>
    </w:p>
    <w:p w:rsidR="009B0732" w:rsidRDefault="009B0732" w:rsidP="009B0732">
      <w:pPr>
        <w:spacing w:after="0" w:line="240" w:lineRule="auto"/>
        <w:rPr>
          <w:rFonts w:ascii="Garamond" w:hAnsi="Garamond"/>
          <w:spacing w:val="4"/>
          <w:sz w:val="24"/>
          <w:szCs w:val="24"/>
          <w:highlight w:val="yellow"/>
        </w:rPr>
        <w:sectPr w:rsidR="009B0732" w:rsidSect="00EB7A2F">
          <w:type w:val="continuous"/>
          <w:pgSz w:w="12240" w:h="15840"/>
          <w:pgMar w:top="1440" w:right="1350" w:bottom="1440" w:left="1440" w:header="720" w:footer="720" w:gutter="0"/>
          <w:cols w:num="2" w:space="720"/>
          <w:titlePg/>
          <w:docGrid w:linePitch="600" w:charSpace="36864"/>
        </w:sectPr>
      </w:pPr>
    </w:p>
    <w:p w:rsidR="009B0732" w:rsidRDefault="009B0732" w:rsidP="009B0732">
      <w:pPr>
        <w:spacing w:after="0" w:line="240" w:lineRule="auto"/>
        <w:rPr>
          <w:rFonts w:ascii="Garamond" w:hAnsi="Garamond"/>
          <w:spacing w:val="4"/>
          <w:sz w:val="24"/>
          <w:szCs w:val="24"/>
          <w:highlight w:val="yellow"/>
        </w:rPr>
        <w:sectPr w:rsidR="009B0732" w:rsidSect="00EB7A2F">
          <w:type w:val="continuous"/>
          <w:pgSz w:w="12240" w:h="15840"/>
          <w:pgMar w:top="1440" w:right="1350" w:bottom="1440" w:left="1440" w:header="720" w:footer="720" w:gutter="0"/>
          <w:cols w:space="720"/>
          <w:titlePg/>
          <w:docGrid w:linePitch="600" w:charSpace="36864"/>
        </w:sectPr>
      </w:pPr>
    </w:p>
    <w:p w:rsidR="009B0732" w:rsidRDefault="009B0732" w:rsidP="009B0732">
      <w:pPr>
        <w:spacing w:after="0" w:line="240" w:lineRule="auto"/>
        <w:rPr>
          <w:rFonts w:ascii="Garamond" w:hAnsi="Garamond"/>
          <w:spacing w:val="4"/>
          <w:sz w:val="24"/>
          <w:szCs w:val="24"/>
          <w:highlight w:val="yellow"/>
        </w:rPr>
        <w:sectPr w:rsidR="009B0732" w:rsidSect="0037358C">
          <w:type w:val="continuous"/>
          <w:pgSz w:w="12240" w:h="15840"/>
          <w:pgMar w:top="1440" w:right="1350" w:bottom="1440" w:left="1440" w:header="720" w:footer="720" w:gutter="0"/>
          <w:cols w:num="2" w:space="720"/>
          <w:titlePg/>
          <w:docGrid w:linePitch="600" w:charSpace="36864"/>
        </w:sectPr>
      </w:pPr>
    </w:p>
    <w:p w:rsidR="009B0732" w:rsidRDefault="00BE476C" w:rsidP="009B0732">
      <w:pPr>
        <w:spacing w:after="0" w:line="240" w:lineRule="auto"/>
        <w:rPr>
          <w:rFonts w:ascii="Garamond" w:hAnsi="Garamond"/>
          <w:b/>
          <w:sz w:val="24"/>
          <w:szCs w:val="24"/>
        </w:rPr>
      </w:pPr>
      <w:r w:rsidRPr="00BE476C">
        <w:rPr>
          <w:rFonts w:ascii="Garamond" w:hAnsi="Garamond"/>
          <w:b/>
          <w:noProof/>
          <w:sz w:val="24"/>
          <w:szCs w:val="24"/>
        </w:rPr>
        <w:pict>
          <v:rect id="_x0000_i1025" alt="" style="width:468pt;height:.05pt;mso-width-percent:0;mso-height-percent:0;mso-width-percent:0;mso-height-percent:0" o:hralign="center" o:hrstd="t" o:hr="t" fillcolor="#a0a0a0" stroked="f"/>
        </w:pict>
      </w:r>
    </w:p>
    <w:p w:rsidR="009B0732" w:rsidRPr="00EB7A2F" w:rsidRDefault="009B0732" w:rsidP="009B0732">
      <w:pPr>
        <w:spacing w:after="0" w:line="240" w:lineRule="auto"/>
        <w:rPr>
          <w:rFonts w:ascii="Garamond" w:hAnsi="Garamond"/>
          <w:b/>
          <w:sz w:val="24"/>
          <w:szCs w:val="24"/>
        </w:rPr>
      </w:pPr>
      <w:r w:rsidRPr="00EB7A2F">
        <w:rPr>
          <w:rFonts w:ascii="Garamond" w:hAnsi="Garamond"/>
          <w:b/>
          <w:sz w:val="24"/>
          <w:szCs w:val="24"/>
        </w:rPr>
        <w:t>References</w:t>
      </w:r>
      <w:r>
        <w:rPr>
          <w:rFonts w:ascii="Garamond" w:hAnsi="Garamond"/>
          <w:b/>
          <w:sz w:val="24"/>
          <w:szCs w:val="24"/>
        </w:rPr>
        <w:t xml:space="preserve"> </w:t>
      </w:r>
    </w:p>
    <w:p w:rsidR="009B0732" w:rsidRPr="005B482D" w:rsidRDefault="009B0732" w:rsidP="009B0732">
      <w:pPr>
        <w:spacing w:after="0" w:line="240" w:lineRule="auto"/>
        <w:rPr>
          <w:rFonts w:ascii="Garamond" w:hAnsi="Garamond"/>
          <w:sz w:val="24"/>
          <w:szCs w:val="24"/>
        </w:rPr>
      </w:pPr>
    </w:p>
    <w:p w:rsidR="00A247CE" w:rsidRPr="00A247CE" w:rsidRDefault="00A247CE" w:rsidP="00A247CE">
      <w:pPr>
        <w:suppressAutoHyphens w:val="0"/>
        <w:spacing w:after="0" w:line="240" w:lineRule="auto"/>
        <w:ind w:left="450" w:hanging="480"/>
        <w:rPr>
          <w:rFonts w:ascii="Garamond" w:eastAsia="Calibri" w:hAnsi="Garamond"/>
          <w:bCs/>
          <w:sz w:val="24"/>
          <w:szCs w:val="24"/>
        </w:rPr>
      </w:pPr>
      <w:r w:rsidRPr="00A247CE">
        <w:rPr>
          <w:rFonts w:ascii="Garamond" w:eastAsia="Calibri" w:hAnsi="Garamond"/>
          <w:bCs/>
          <w:sz w:val="24"/>
          <w:szCs w:val="24"/>
        </w:rPr>
        <w:t xml:space="preserve">Blakely, J. (2017). How school choice turns education into a commodity. </w:t>
      </w:r>
      <w:r w:rsidRPr="00A247CE">
        <w:rPr>
          <w:rFonts w:ascii="Garamond" w:eastAsia="Calibri" w:hAnsi="Garamond"/>
          <w:bCs/>
          <w:i/>
          <w:sz w:val="24"/>
          <w:szCs w:val="24"/>
        </w:rPr>
        <w:t>The Atlantic</w:t>
      </w:r>
      <w:r w:rsidRPr="00A247CE">
        <w:rPr>
          <w:rFonts w:ascii="Garamond" w:eastAsia="Calibri" w:hAnsi="Garamond"/>
          <w:bCs/>
          <w:sz w:val="24"/>
          <w:szCs w:val="24"/>
        </w:rPr>
        <w:t>.</w:t>
      </w:r>
      <w:hyperlink r:id="rId18" w:history="1">
        <w:r w:rsidRPr="00A247CE">
          <w:rPr>
            <w:rFonts w:ascii="Garamond" w:eastAsia="Calibri" w:hAnsi="Garamond"/>
            <w:bCs/>
            <w:color w:val="0000FF"/>
            <w:sz w:val="24"/>
            <w:szCs w:val="24"/>
            <w:u w:val="single"/>
          </w:rPr>
          <w:t>https://www.theatlantic.com/education/archive/2017/04/is-school-choice-really-a-form-of-freedom/523089/</w:t>
        </w:r>
      </w:hyperlink>
    </w:p>
    <w:p w:rsidR="00A247CE" w:rsidRPr="00A247CE" w:rsidRDefault="00A247CE" w:rsidP="00A247CE">
      <w:pPr>
        <w:suppressAutoHyphens w:val="0"/>
        <w:spacing w:after="0" w:line="240" w:lineRule="auto"/>
        <w:ind w:left="450" w:hanging="480"/>
        <w:rPr>
          <w:rFonts w:ascii="Garamond" w:eastAsia="Calibri" w:hAnsi="Garamond"/>
          <w:bCs/>
          <w:sz w:val="24"/>
          <w:szCs w:val="24"/>
        </w:rPr>
      </w:pPr>
      <w:r w:rsidRPr="00A247CE">
        <w:rPr>
          <w:rFonts w:ascii="Garamond" w:eastAsia="Calibri" w:hAnsi="Garamond"/>
          <w:bCs/>
          <w:sz w:val="24"/>
          <w:szCs w:val="24"/>
        </w:rPr>
        <w:t>Card, D., &amp; Rothstein, J. (2007). Racial segregation and the black–white test score gap. </w:t>
      </w:r>
      <w:r w:rsidRPr="00A247CE">
        <w:rPr>
          <w:rFonts w:ascii="Garamond" w:eastAsia="Calibri" w:hAnsi="Garamond"/>
          <w:bCs/>
          <w:i/>
          <w:iCs/>
          <w:sz w:val="24"/>
          <w:szCs w:val="24"/>
        </w:rPr>
        <w:t>Journal of Public Economics</w:t>
      </w:r>
      <w:r w:rsidRPr="00A247CE">
        <w:rPr>
          <w:rFonts w:ascii="Garamond" w:eastAsia="Calibri" w:hAnsi="Garamond"/>
          <w:bCs/>
          <w:sz w:val="24"/>
          <w:szCs w:val="24"/>
        </w:rPr>
        <w:t>, </w:t>
      </w:r>
      <w:r w:rsidRPr="00A247CE">
        <w:rPr>
          <w:rFonts w:ascii="Garamond" w:eastAsia="Calibri" w:hAnsi="Garamond"/>
          <w:bCs/>
          <w:i/>
          <w:iCs/>
          <w:sz w:val="24"/>
          <w:szCs w:val="24"/>
        </w:rPr>
        <w:t>91</w:t>
      </w:r>
      <w:r w:rsidRPr="00A247CE">
        <w:rPr>
          <w:rFonts w:ascii="Garamond" w:eastAsia="Calibri" w:hAnsi="Garamond"/>
          <w:bCs/>
          <w:sz w:val="24"/>
          <w:szCs w:val="24"/>
        </w:rPr>
        <w:t>(11-12), 2158-2184.</w:t>
      </w:r>
    </w:p>
    <w:p w:rsidR="00A247CE" w:rsidRPr="00A247CE" w:rsidRDefault="00A247CE" w:rsidP="00A247CE">
      <w:pPr>
        <w:suppressAutoHyphens w:val="0"/>
        <w:spacing w:after="0" w:line="240" w:lineRule="auto"/>
        <w:ind w:left="450" w:hanging="480"/>
        <w:rPr>
          <w:rFonts w:ascii="Garamond" w:eastAsia="Calibri" w:hAnsi="Garamond"/>
          <w:bCs/>
          <w:sz w:val="24"/>
          <w:szCs w:val="24"/>
        </w:rPr>
      </w:pPr>
      <w:proofErr w:type="spellStart"/>
      <w:r w:rsidRPr="00A247CE">
        <w:rPr>
          <w:rFonts w:ascii="Garamond" w:eastAsia="Calibri" w:hAnsi="Garamond"/>
          <w:bCs/>
          <w:sz w:val="24"/>
          <w:szCs w:val="24"/>
        </w:rPr>
        <w:t>Crosnoe</w:t>
      </w:r>
      <w:proofErr w:type="spellEnd"/>
      <w:r w:rsidRPr="00A247CE">
        <w:rPr>
          <w:rFonts w:ascii="Garamond" w:eastAsia="Calibri" w:hAnsi="Garamond"/>
          <w:bCs/>
          <w:sz w:val="24"/>
          <w:szCs w:val="24"/>
        </w:rPr>
        <w:t xml:space="preserve">, R. (2009). Low-income students and the socioeconomic composition of public high schools. </w:t>
      </w:r>
      <w:r w:rsidRPr="00A247CE">
        <w:rPr>
          <w:rFonts w:ascii="Garamond" w:eastAsia="Calibri" w:hAnsi="Garamond"/>
          <w:bCs/>
          <w:i/>
          <w:iCs/>
          <w:sz w:val="24"/>
          <w:szCs w:val="24"/>
        </w:rPr>
        <w:t>American Sociological Review</w:t>
      </w:r>
      <w:r w:rsidRPr="00A247CE">
        <w:rPr>
          <w:rFonts w:ascii="Garamond" w:eastAsia="Calibri" w:hAnsi="Garamond"/>
          <w:bCs/>
          <w:sz w:val="24"/>
          <w:szCs w:val="24"/>
        </w:rPr>
        <w:t xml:space="preserve">, </w:t>
      </w:r>
      <w:r w:rsidRPr="00A247CE">
        <w:rPr>
          <w:rFonts w:ascii="Garamond" w:eastAsia="Calibri" w:hAnsi="Garamond"/>
          <w:bCs/>
          <w:i/>
          <w:iCs/>
          <w:sz w:val="24"/>
          <w:szCs w:val="24"/>
        </w:rPr>
        <w:t>74</w:t>
      </w:r>
      <w:r w:rsidRPr="00A247CE">
        <w:rPr>
          <w:rFonts w:ascii="Garamond" w:eastAsia="Calibri" w:hAnsi="Garamond"/>
          <w:bCs/>
          <w:sz w:val="24"/>
          <w:szCs w:val="24"/>
        </w:rPr>
        <w:t xml:space="preserve">(5), 709–730. </w:t>
      </w:r>
      <w:hyperlink r:id="rId19" w:history="1">
        <w:r w:rsidRPr="00A247CE">
          <w:rPr>
            <w:rFonts w:ascii="Garamond" w:eastAsia="Calibri" w:hAnsi="Garamond"/>
            <w:bCs/>
            <w:color w:val="0000FF"/>
            <w:sz w:val="24"/>
            <w:szCs w:val="24"/>
            <w:u w:val="single"/>
          </w:rPr>
          <w:t>https://doi.org/10.1177/000312240907400502</w:t>
        </w:r>
      </w:hyperlink>
    </w:p>
    <w:p w:rsidR="00A247CE" w:rsidRPr="00A247CE" w:rsidRDefault="00A247CE" w:rsidP="00A247CE">
      <w:pPr>
        <w:suppressAutoHyphens w:val="0"/>
        <w:spacing w:after="0" w:line="240" w:lineRule="auto"/>
        <w:ind w:left="450" w:hanging="480"/>
        <w:rPr>
          <w:rFonts w:ascii="Garamond" w:eastAsia="Calibri" w:hAnsi="Garamond"/>
          <w:bCs/>
          <w:sz w:val="24"/>
          <w:szCs w:val="24"/>
        </w:rPr>
      </w:pPr>
      <w:r w:rsidRPr="00A247CE">
        <w:rPr>
          <w:rFonts w:ascii="Garamond" w:eastAsia="Calibri" w:hAnsi="Garamond"/>
          <w:bCs/>
          <w:sz w:val="24"/>
          <w:szCs w:val="24"/>
        </w:rPr>
        <w:lastRenderedPageBreak/>
        <w:t xml:space="preserve">Darling-Hammond, L. (2007). Third Annual Brown Lecture in Education Research—The Flat Earth and Education: How America’s Commitment to Equity Will Determine Our Future. </w:t>
      </w:r>
      <w:r w:rsidRPr="00A247CE">
        <w:rPr>
          <w:rFonts w:ascii="Garamond" w:eastAsia="Calibri" w:hAnsi="Garamond"/>
          <w:bCs/>
          <w:i/>
          <w:iCs/>
          <w:sz w:val="24"/>
          <w:szCs w:val="24"/>
        </w:rPr>
        <w:t>Educational Researcher</w:t>
      </w:r>
      <w:r w:rsidRPr="00A247CE">
        <w:rPr>
          <w:rFonts w:ascii="Garamond" w:eastAsia="Calibri" w:hAnsi="Garamond"/>
          <w:bCs/>
          <w:sz w:val="24"/>
          <w:szCs w:val="24"/>
        </w:rPr>
        <w:t xml:space="preserve">, </w:t>
      </w:r>
      <w:r w:rsidRPr="00A247CE">
        <w:rPr>
          <w:rFonts w:ascii="Garamond" w:eastAsia="Calibri" w:hAnsi="Garamond"/>
          <w:bCs/>
          <w:i/>
          <w:iCs/>
          <w:sz w:val="24"/>
          <w:szCs w:val="24"/>
        </w:rPr>
        <w:t>36</w:t>
      </w:r>
      <w:r w:rsidRPr="00A247CE">
        <w:rPr>
          <w:rFonts w:ascii="Garamond" w:eastAsia="Calibri" w:hAnsi="Garamond"/>
          <w:bCs/>
          <w:sz w:val="24"/>
          <w:szCs w:val="24"/>
        </w:rPr>
        <w:t xml:space="preserve">(6), 318–334. </w:t>
      </w:r>
      <w:hyperlink r:id="rId20" w:history="1">
        <w:r w:rsidRPr="00A247CE">
          <w:rPr>
            <w:rFonts w:ascii="Garamond" w:eastAsia="Calibri" w:hAnsi="Garamond"/>
            <w:bCs/>
            <w:color w:val="0000FF"/>
            <w:sz w:val="24"/>
            <w:szCs w:val="24"/>
            <w:u w:val="single"/>
          </w:rPr>
          <w:t>https://doi.org/10.3102/0013189X07308253</w:t>
        </w:r>
      </w:hyperlink>
    </w:p>
    <w:p w:rsidR="00A247CE" w:rsidRPr="00A247CE" w:rsidRDefault="00A247CE" w:rsidP="00A247CE">
      <w:pPr>
        <w:suppressAutoHyphens w:val="0"/>
        <w:spacing w:after="0" w:line="240" w:lineRule="auto"/>
        <w:ind w:left="450" w:hanging="480"/>
        <w:rPr>
          <w:rFonts w:ascii="Garamond" w:eastAsia="Calibri" w:hAnsi="Garamond"/>
          <w:bCs/>
          <w:sz w:val="24"/>
          <w:szCs w:val="24"/>
        </w:rPr>
      </w:pPr>
      <w:r w:rsidRPr="00A247CE">
        <w:rPr>
          <w:rFonts w:ascii="Garamond" w:hAnsi="Garamond"/>
          <w:sz w:val="24"/>
          <w:szCs w:val="24"/>
        </w:rPr>
        <w:t xml:space="preserve"> </w:t>
      </w:r>
      <w:r w:rsidRPr="00A247CE">
        <w:rPr>
          <w:rFonts w:ascii="Garamond" w:eastAsia="Calibri" w:hAnsi="Garamond"/>
          <w:bCs/>
          <w:sz w:val="24"/>
          <w:szCs w:val="24"/>
        </w:rPr>
        <w:t xml:space="preserve">Ewing, E. L. (2018). </w:t>
      </w:r>
      <w:r w:rsidRPr="00A247CE">
        <w:rPr>
          <w:rFonts w:ascii="Garamond" w:eastAsia="Calibri" w:hAnsi="Garamond"/>
          <w:bCs/>
          <w:i/>
          <w:iCs/>
          <w:sz w:val="24"/>
          <w:szCs w:val="24"/>
        </w:rPr>
        <w:t>Ghosts in the schoolyard: Racism and school closings on Chicago’s South Side</w:t>
      </w:r>
      <w:r w:rsidRPr="00A247CE">
        <w:rPr>
          <w:rFonts w:ascii="Garamond" w:eastAsia="Calibri" w:hAnsi="Garamond"/>
          <w:bCs/>
          <w:sz w:val="24"/>
          <w:szCs w:val="24"/>
        </w:rPr>
        <w:t>. University of Chicago Press.</w:t>
      </w:r>
    </w:p>
    <w:p w:rsidR="00A247CE" w:rsidRPr="00A247CE" w:rsidRDefault="00A247CE" w:rsidP="00A247CE">
      <w:pPr>
        <w:suppressAutoHyphens w:val="0"/>
        <w:spacing w:after="0" w:line="240" w:lineRule="auto"/>
        <w:ind w:left="450" w:hanging="480"/>
        <w:rPr>
          <w:rFonts w:ascii="Garamond" w:eastAsia="Calibri" w:hAnsi="Garamond"/>
          <w:bCs/>
          <w:sz w:val="24"/>
          <w:szCs w:val="24"/>
        </w:rPr>
      </w:pPr>
      <w:r w:rsidRPr="00A247CE">
        <w:rPr>
          <w:rFonts w:ascii="Garamond" w:hAnsi="Garamond"/>
          <w:sz w:val="24"/>
          <w:szCs w:val="24"/>
        </w:rPr>
        <w:t xml:space="preserve"> </w:t>
      </w:r>
      <w:r w:rsidRPr="00A247CE">
        <w:rPr>
          <w:rFonts w:ascii="Garamond" w:eastAsia="Calibri" w:hAnsi="Garamond"/>
          <w:bCs/>
          <w:sz w:val="24"/>
          <w:szCs w:val="24"/>
        </w:rPr>
        <w:t xml:space="preserve">Ross, E. W., &amp; Gibson, R. J. (Eds.). (2007). </w:t>
      </w:r>
      <w:r w:rsidRPr="00A247CE">
        <w:rPr>
          <w:rFonts w:ascii="Garamond" w:eastAsia="Calibri" w:hAnsi="Garamond"/>
          <w:bCs/>
          <w:i/>
          <w:iCs/>
          <w:sz w:val="24"/>
          <w:szCs w:val="24"/>
        </w:rPr>
        <w:t>Neoliberalism and education reform</w:t>
      </w:r>
      <w:r w:rsidRPr="00A247CE">
        <w:rPr>
          <w:rFonts w:ascii="Garamond" w:eastAsia="Calibri" w:hAnsi="Garamond"/>
          <w:bCs/>
          <w:sz w:val="24"/>
          <w:szCs w:val="24"/>
        </w:rPr>
        <w:t>. Hampton Press.</w:t>
      </w:r>
    </w:p>
    <w:p w:rsidR="00A247CE" w:rsidRPr="00A247CE" w:rsidRDefault="00A247CE" w:rsidP="00A247CE">
      <w:pPr>
        <w:suppressAutoHyphens w:val="0"/>
        <w:spacing w:after="0" w:line="240" w:lineRule="auto"/>
        <w:ind w:left="450" w:hanging="480"/>
        <w:rPr>
          <w:rFonts w:ascii="Garamond" w:hAnsi="Garamond"/>
          <w:sz w:val="24"/>
          <w:szCs w:val="24"/>
        </w:rPr>
      </w:pPr>
      <w:r w:rsidRPr="00A247CE">
        <w:rPr>
          <w:rFonts w:ascii="Garamond" w:hAnsi="Garamond"/>
          <w:sz w:val="24"/>
          <w:szCs w:val="24"/>
        </w:rPr>
        <w:t xml:space="preserve"> The 1619 Project. (2019). The 1619 Project. </w:t>
      </w:r>
      <w:r w:rsidRPr="00A247CE">
        <w:rPr>
          <w:rFonts w:ascii="Garamond" w:hAnsi="Garamond"/>
          <w:i/>
          <w:iCs/>
          <w:sz w:val="24"/>
          <w:szCs w:val="24"/>
        </w:rPr>
        <w:t>The New York Times</w:t>
      </w:r>
      <w:r w:rsidRPr="00A247CE">
        <w:rPr>
          <w:rFonts w:ascii="Garamond" w:hAnsi="Garamond"/>
          <w:sz w:val="24"/>
          <w:szCs w:val="24"/>
        </w:rPr>
        <w:t xml:space="preserve">. Retrieved from </w:t>
      </w:r>
      <w:r w:rsidRPr="00A247CE">
        <w:rPr>
          <w:rFonts w:ascii="Garamond" w:hAnsi="Garamond"/>
          <w:color w:val="0000FF"/>
          <w:sz w:val="24"/>
          <w:szCs w:val="24"/>
          <w:u w:val="single"/>
        </w:rPr>
        <w:t>https://www.nytimes.com/interactive/2019/08/14/magazine/1619-america-slavery.html</w:t>
      </w:r>
    </w:p>
    <w:p w:rsidR="009B0732" w:rsidRPr="00A247CE" w:rsidRDefault="009B0732" w:rsidP="009B0732">
      <w:pPr>
        <w:spacing w:after="0" w:line="240" w:lineRule="auto"/>
        <w:rPr>
          <w:rFonts w:ascii="Garamond" w:hAnsi="Garamond"/>
          <w:sz w:val="24"/>
          <w:szCs w:val="24"/>
        </w:rPr>
      </w:pPr>
    </w:p>
    <w:p w:rsidR="009B0732" w:rsidRPr="00EB7A2F" w:rsidRDefault="009B0732" w:rsidP="009B0732">
      <w:pPr>
        <w:spacing w:after="0" w:line="240" w:lineRule="auto"/>
        <w:rPr>
          <w:rFonts w:ascii="Garamond" w:hAnsi="Garamond"/>
          <w:b/>
          <w:sz w:val="24"/>
          <w:szCs w:val="24"/>
        </w:rPr>
      </w:pPr>
      <w:r w:rsidRPr="00EB7A2F">
        <w:rPr>
          <w:rFonts w:ascii="Garamond" w:hAnsi="Garamond"/>
          <w:b/>
          <w:sz w:val="24"/>
          <w:szCs w:val="24"/>
        </w:rPr>
        <w:t>About the Reviewer</w:t>
      </w:r>
    </w:p>
    <w:p w:rsidR="009B0732" w:rsidRPr="005B482D" w:rsidRDefault="009B0732" w:rsidP="009B0732">
      <w:pPr>
        <w:spacing w:after="0" w:line="240" w:lineRule="auto"/>
        <w:rPr>
          <w:rFonts w:ascii="Garamond" w:hAnsi="Garamond"/>
          <w:sz w:val="24"/>
          <w:szCs w:val="24"/>
        </w:rPr>
      </w:pPr>
    </w:p>
    <w:p w:rsidR="009B0732" w:rsidRPr="00EB7A2F" w:rsidRDefault="00A247CE" w:rsidP="009B0732">
      <w:pPr>
        <w:spacing w:after="0" w:line="240" w:lineRule="auto"/>
        <w:contextualSpacing/>
        <w:rPr>
          <w:rFonts w:ascii="Garamond" w:hAnsi="Garamond"/>
          <w:b/>
          <w:sz w:val="24"/>
          <w:szCs w:val="24"/>
          <w:highlight w:val="cyan"/>
        </w:rPr>
      </w:pPr>
      <w:r w:rsidRPr="00A247CE">
        <w:rPr>
          <w:rFonts w:ascii="Garamond" w:hAnsi="Garamond"/>
          <w:b/>
          <w:sz w:val="24"/>
          <w:szCs w:val="24"/>
          <w:highlight w:val="cyan"/>
        </w:rPr>
        <w:t xml:space="preserve">Akua </w:t>
      </w:r>
      <w:r>
        <w:rPr>
          <w:rFonts w:ascii="Garamond" w:hAnsi="Garamond"/>
          <w:b/>
          <w:sz w:val="24"/>
          <w:szCs w:val="24"/>
          <w:highlight w:val="cyan"/>
        </w:rPr>
        <w:t xml:space="preserve">Nkansah-Amankra </w:t>
      </w:r>
      <w:r>
        <w:rPr>
          <w:rFonts w:ascii="Garamond" w:hAnsi="Garamond"/>
          <w:sz w:val="24"/>
          <w:szCs w:val="24"/>
          <w:highlight w:val="cyan"/>
        </w:rPr>
        <w:t>is an Urban Education Policy PhD student at the University of Southern California</w:t>
      </w:r>
      <w:r w:rsidR="00E94FE3">
        <w:rPr>
          <w:rFonts w:ascii="Garamond" w:hAnsi="Garamond"/>
          <w:sz w:val="24"/>
          <w:szCs w:val="24"/>
          <w:highlight w:val="cyan"/>
        </w:rPr>
        <w:t xml:space="preserve"> (USC)</w:t>
      </w:r>
      <w:r>
        <w:rPr>
          <w:rFonts w:ascii="Garamond" w:hAnsi="Garamond"/>
          <w:sz w:val="24"/>
          <w:szCs w:val="24"/>
          <w:highlight w:val="cyan"/>
        </w:rPr>
        <w:t>, and a research associate with the Center for Education Policy, Equity, and Governance</w:t>
      </w:r>
      <w:r w:rsidR="008C4722">
        <w:rPr>
          <w:rFonts w:ascii="Garamond" w:hAnsi="Garamond"/>
          <w:sz w:val="24"/>
          <w:szCs w:val="24"/>
          <w:highlight w:val="cyan"/>
        </w:rPr>
        <w:t>.</w:t>
      </w:r>
      <w:r w:rsidR="00E94FE3">
        <w:rPr>
          <w:rFonts w:ascii="Garamond" w:hAnsi="Garamond"/>
          <w:sz w:val="24"/>
          <w:szCs w:val="24"/>
          <w:highlight w:val="cyan"/>
        </w:rPr>
        <w:t xml:space="preserve"> They are a Ford Foundation Predoctoral Fellow, National Science Foundation Graduate Research Fellow, and a USC Provost Fellow. Their research interests include classroom management, school discipline policies and reforms, critical discourse analysis, and quantitative criticalism. They can be reached at </w:t>
      </w:r>
      <w:hyperlink r:id="rId21" w:history="1">
        <w:r w:rsidR="00E94FE3" w:rsidRPr="0062540E">
          <w:rPr>
            <w:rStyle w:val="Hyperlink"/>
            <w:rFonts w:ascii="Garamond" w:hAnsi="Garamond"/>
            <w:sz w:val="24"/>
            <w:szCs w:val="24"/>
            <w:highlight w:val="cyan"/>
          </w:rPr>
          <w:t>nkansaha@usc.edu</w:t>
        </w:r>
      </w:hyperlink>
      <w:r w:rsidR="00E94FE3">
        <w:rPr>
          <w:rFonts w:ascii="Garamond" w:hAnsi="Garamond"/>
          <w:sz w:val="24"/>
          <w:szCs w:val="24"/>
          <w:highlight w:val="cyan"/>
        </w:rPr>
        <w:t xml:space="preserve">. </w:t>
      </w:r>
    </w:p>
    <w:p w:rsidR="009B0732" w:rsidRPr="005B482D" w:rsidRDefault="009B0732" w:rsidP="009B0732">
      <w:pPr>
        <w:suppressAutoHyphens w:val="0"/>
        <w:spacing w:after="0" w:line="240" w:lineRule="auto"/>
        <w:rPr>
          <w:rFonts w:ascii="Garamond" w:hAnsi="Garamond" w:cs="Candara"/>
          <w:i/>
          <w:noProof/>
        </w:rPr>
      </w:pPr>
      <w:r w:rsidRPr="005B482D">
        <w:rPr>
          <w:rFonts w:ascii="Garamond" w:hAnsi="Garamond" w:cs="Candara"/>
          <w:i/>
          <w:noProof/>
        </w:rPr>
        <w:br w:type="page"/>
      </w:r>
    </w:p>
    <w:p w:rsidR="009B0732" w:rsidRPr="005B482D" w:rsidRDefault="009B0732" w:rsidP="009B0732">
      <w:pPr>
        <w:spacing w:after="0"/>
        <w:ind w:left="-180" w:right="-180"/>
        <w:rPr>
          <w:rFonts w:ascii="Garamond" w:hAnsi="Garamond" w:cs="Candara"/>
          <w:i/>
        </w:rPr>
      </w:pPr>
      <w:r w:rsidRPr="005B482D">
        <w:rPr>
          <w:rFonts w:ascii="Garamond" w:hAnsi="Garamond" w:cs="Candara"/>
          <w:i/>
          <w:noProof/>
        </w:rPr>
        <w:lastRenderedPageBreak/>
        <w:drawing>
          <wp:inline distT="0" distB="0" distL="0" distR="0" wp14:anchorId="57E97300" wp14:editId="31EDAB08">
            <wp:extent cx="5743575" cy="12316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22">
                      <a:extLst>
                        <a:ext uri="{28A0092B-C50C-407E-A947-70E740481C1C}">
                          <a14:useLocalDpi xmlns:a14="http://schemas.microsoft.com/office/drawing/2010/main" val="0"/>
                        </a:ext>
                      </a:extLst>
                    </a:blip>
                    <a:stretch>
                      <a:fillRect/>
                    </a:stretch>
                  </pic:blipFill>
                  <pic:spPr>
                    <a:xfrm>
                      <a:off x="0" y="0"/>
                      <a:ext cx="5759981" cy="1235181"/>
                    </a:xfrm>
                    <a:prstGeom prst="rect">
                      <a:avLst/>
                    </a:prstGeom>
                  </pic:spPr>
                </pic:pic>
              </a:graphicData>
            </a:graphic>
          </wp:inline>
        </w:drawing>
      </w:r>
    </w:p>
    <w:p w:rsidR="009B0732" w:rsidRPr="005B482D" w:rsidRDefault="009B0732" w:rsidP="009B0732">
      <w:pPr>
        <w:spacing w:after="0" w:line="240" w:lineRule="auto"/>
        <w:rPr>
          <w:rFonts w:ascii="Garamond" w:hAnsi="Garamond"/>
          <w:bCs/>
          <w:sz w:val="24"/>
          <w:szCs w:val="24"/>
        </w:rPr>
      </w:pPr>
      <w:r w:rsidRPr="005B482D">
        <w:rPr>
          <w:rFonts w:ascii="Garamond" w:hAnsi="Garamond"/>
          <w:noProof/>
          <w:sz w:val="24"/>
          <w:szCs w:val="24"/>
        </w:rPr>
        <w:drawing>
          <wp:anchor distT="0" distB="0" distL="114935" distR="114935" simplePos="0" relativeHeight="251659264" behindDoc="1" locked="0" layoutInCell="1" allowOverlap="1" wp14:anchorId="05C71831" wp14:editId="41F7D1D0">
            <wp:simplePos x="0" y="0"/>
            <wp:positionH relativeFrom="column">
              <wp:posOffset>-31750</wp:posOffset>
            </wp:positionH>
            <wp:positionV relativeFrom="paragraph">
              <wp:posOffset>27940</wp:posOffset>
            </wp:positionV>
            <wp:extent cx="211455" cy="299085"/>
            <wp:effectExtent l="0" t="0" r="0" b="5715"/>
            <wp:wrapTight wrapText="bothSides">
              <wp:wrapPolygon edited="0">
                <wp:start x="0" y="0"/>
                <wp:lineTo x="0" y="20178"/>
                <wp:lineTo x="18162" y="20178"/>
                <wp:lineTo x="18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455" cy="299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482D">
        <w:rPr>
          <w:rFonts w:ascii="Garamond" w:hAnsi="Garamond"/>
          <w:i/>
          <w:sz w:val="24"/>
          <w:szCs w:val="24"/>
        </w:rPr>
        <w:t>Education Review/</w:t>
      </w:r>
      <w:proofErr w:type="spellStart"/>
      <w:r w:rsidRPr="005B482D">
        <w:rPr>
          <w:rFonts w:ascii="Garamond" w:hAnsi="Garamond"/>
          <w:bCs/>
          <w:i/>
          <w:sz w:val="24"/>
          <w:szCs w:val="24"/>
        </w:rPr>
        <w:t>Reseñas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w:t>
      </w:r>
      <w:proofErr w:type="spellStart"/>
      <w:r w:rsidRPr="005B482D">
        <w:rPr>
          <w:rFonts w:ascii="Garamond" w:hAnsi="Garamond"/>
          <w:bCs/>
          <w:i/>
          <w:sz w:val="24"/>
          <w:szCs w:val="24"/>
        </w:rPr>
        <w:t>Resenhas</w:t>
      </w:r>
      <w:proofErr w:type="spellEnd"/>
      <w:r w:rsidRPr="005B482D">
        <w:rPr>
          <w:rFonts w:ascii="Garamond" w:hAnsi="Garamond"/>
          <w:bCs/>
          <w:i/>
          <w:sz w:val="24"/>
          <w:szCs w:val="24"/>
        </w:rPr>
        <w:t xml:space="preserve"> </w:t>
      </w:r>
      <w:proofErr w:type="spellStart"/>
      <w:r w:rsidRPr="005B482D">
        <w:rPr>
          <w:rFonts w:ascii="Garamond" w:hAnsi="Garamond"/>
          <w:bCs/>
          <w:i/>
          <w:sz w:val="24"/>
          <w:szCs w:val="24"/>
        </w:rPr>
        <w:t>Educativas</w:t>
      </w:r>
      <w:proofErr w:type="spellEnd"/>
      <w:r w:rsidRPr="005B482D">
        <w:rPr>
          <w:rFonts w:ascii="Garamond" w:hAnsi="Garamond"/>
          <w:bCs/>
          <w:i/>
          <w:sz w:val="24"/>
          <w:szCs w:val="24"/>
        </w:rPr>
        <w:t xml:space="preserve"> </w:t>
      </w:r>
      <w:r w:rsidRPr="005B482D">
        <w:rPr>
          <w:rFonts w:ascii="Garamond" w:hAnsi="Garamond"/>
          <w:bCs/>
          <w:sz w:val="24"/>
          <w:szCs w:val="24"/>
        </w:rPr>
        <w:t xml:space="preserve">is supported by the Scholarly Communications Group at the Mary Lou Fulton Teachers College, Arizona State University. </w:t>
      </w:r>
      <w:r w:rsidRPr="005B482D">
        <w:rPr>
          <w:rFonts w:ascii="Garamond" w:hAnsi="Garamond"/>
          <w:sz w:val="24"/>
          <w:szCs w:val="24"/>
        </w:rPr>
        <w:t xml:space="preserve">Copyright is retained by the first or sole author, who grants right of first publication to the </w:t>
      </w:r>
      <w:r w:rsidRPr="005B482D">
        <w:rPr>
          <w:rFonts w:ascii="Garamond" w:hAnsi="Garamond"/>
          <w:i/>
          <w:sz w:val="24"/>
          <w:szCs w:val="24"/>
        </w:rPr>
        <w:t>Education Review</w:t>
      </w:r>
      <w:r w:rsidRPr="005B482D">
        <w:rPr>
          <w:rFonts w:ascii="Garamond" w:hAnsi="Garamond"/>
          <w:sz w:val="24"/>
          <w:szCs w:val="24"/>
        </w:rPr>
        <w:t xml:space="preserve">. </w:t>
      </w:r>
      <w:r w:rsidRPr="005B482D">
        <w:rPr>
          <w:rFonts w:ascii="Garamond" w:hAnsi="Garamond"/>
          <w:spacing w:val="4"/>
          <w:sz w:val="24"/>
          <w:szCs w:val="24"/>
        </w:rPr>
        <w:t xml:space="preserve">Readers are free to copy, display, and distribute this article, as long as the work is attributed to the author(s) and </w:t>
      </w:r>
      <w:r w:rsidRPr="005B482D">
        <w:rPr>
          <w:rFonts w:ascii="Garamond" w:hAnsi="Garamond"/>
          <w:b/>
          <w:i/>
          <w:spacing w:val="4"/>
          <w:sz w:val="24"/>
          <w:szCs w:val="24"/>
        </w:rPr>
        <w:t>Education Review</w:t>
      </w:r>
      <w:r w:rsidRPr="005B482D">
        <w:rPr>
          <w:rFonts w:ascii="Garamond" w:hAnsi="Garamond"/>
          <w:b/>
          <w:spacing w:val="4"/>
          <w:sz w:val="24"/>
          <w:szCs w:val="24"/>
        </w:rPr>
        <w:t xml:space="preserve">, </w:t>
      </w:r>
      <w:r w:rsidRPr="005B482D">
        <w:rPr>
          <w:rFonts w:ascii="Garamond" w:hAnsi="Garamond"/>
          <w:spacing w:val="4"/>
          <w:sz w:val="24"/>
          <w:szCs w:val="24"/>
        </w:rPr>
        <w:t>it is distributed</w:t>
      </w:r>
      <w:r w:rsidRPr="005B482D">
        <w:rPr>
          <w:rFonts w:ascii="Garamond" w:hAnsi="Garamond"/>
          <w:b/>
          <w:spacing w:val="4"/>
          <w:sz w:val="24"/>
          <w:szCs w:val="24"/>
        </w:rPr>
        <w:t xml:space="preserve"> </w:t>
      </w:r>
      <w:r w:rsidRPr="005B482D">
        <w:rPr>
          <w:rFonts w:ascii="Garamond" w:hAnsi="Garamond"/>
          <w:spacing w:val="4"/>
          <w:sz w:val="24"/>
          <w:szCs w:val="24"/>
        </w:rPr>
        <w:t xml:space="preserve">for non-commercial purposes only, and no alteration or transformation is made in the work. More details of this Creative Commons license are available at http://creativecommons.org/licenses/by-nc-sa/3.0/. All other uses must be approved by the author(s) or </w:t>
      </w:r>
      <w:r w:rsidRPr="005B482D">
        <w:rPr>
          <w:rFonts w:ascii="Garamond" w:hAnsi="Garamond"/>
          <w:b/>
          <w:i/>
          <w:spacing w:val="4"/>
          <w:sz w:val="24"/>
          <w:szCs w:val="24"/>
        </w:rPr>
        <w:t>Education Review</w:t>
      </w:r>
      <w:r w:rsidRPr="005B482D">
        <w:rPr>
          <w:rFonts w:ascii="Garamond" w:hAnsi="Garamond"/>
          <w:spacing w:val="4"/>
          <w:sz w:val="24"/>
          <w:szCs w:val="24"/>
        </w:rPr>
        <w:t xml:space="preserve">. </w:t>
      </w:r>
      <w:r w:rsidRPr="005B482D">
        <w:rPr>
          <w:rFonts w:ascii="Garamond" w:hAnsi="Garamond"/>
          <w:b/>
          <w:i/>
          <w:spacing w:val="4"/>
          <w:sz w:val="24"/>
          <w:szCs w:val="24"/>
        </w:rPr>
        <w:t>Education Review</w:t>
      </w:r>
      <w:r w:rsidRPr="005B482D">
        <w:rPr>
          <w:rFonts w:ascii="Garamond" w:hAnsi="Garamond"/>
          <w:spacing w:val="4"/>
          <w:sz w:val="24"/>
          <w:szCs w:val="24"/>
        </w:rPr>
        <w:t xml:space="preserve"> is published by the Scholarly Communications Group of the Mary Lou Fulton Teachers College, Arizona State University.</w:t>
      </w:r>
    </w:p>
    <w:p w:rsidR="009B0732" w:rsidRPr="005B482D" w:rsidRDefault="009B0732" w:rsidP="009B0732">
      <w:pPr>
        <w:spacing w:after="0" w:line="240" w:lineRule="auto"/>
        <w:rPr>
          <w:rFonts w:ascii="Garamond" w:hAnsi="Garamond"/>
          <w:spacing w:val="4"/>
          <w:sz w:val="24"/>
          <w:szCs w:val="24"/>
        </w:rPr>
      </w:pPr>
    </w:p>
    <w:p w:rsidR="009B0732" w:rsidRPr="005B482D" w:rsidRDefault="00E2380F" w:rsidP="009B0732">
      <w:pPr>
        <w:spacing w:after="0" w:line="240" w:lineRule="auto"/>
        <w:rPr>
          <w:rFonts w:ascii="Garamond" w:hAnsi="Garamond"/>
          <w:sz w:val="24"/>
          <w:szCs w:val="24"/>
        </w:rPr>
      </w:pPr>
      <w:r w:rsidRPr="00433796">
        <w:rPr>
          <w:rFonts w:ascii="Garamond" w:hAnsi="Garamond"/>
          <w:b/>
          <w:bCs/>
          <w:sz w:val="24"/>
          <w:szCs w:val="24"/>
        </w:rPr>
        <w:t>Disclaimer:</w:t>
      </w:r>
      <w:r w:rsidRPr="00433796">
        <w:rPr>
          <w:rFonts w:ascii="Garamond" w:hAnsi="Garamond"/>
          <w:sz w:val="24"/>
          <w:szCs w:val="24"/>
        </w:rPr>
        <w:t> The views or opinions presented in book reviews are solely those of the author(s) and do not necessarily represent those of </w:t>
      </w:r>
      <w:r w:rsidRPr="00433796">
        <w:rPr>
          <w:rFonts w:ascii="Garamond" w:hAnsi="Garamond"/>
          <w:bCs/>
          <w:i/>
          <w:sz w:val="24"/>
          <w:szCs w:val="24"/>
        </w:rPr>
        <w:t>Education Review</w:t>
      </w:r>
      <w:r w:rsidRPr="00433796">
        <w:rPr>
          <w:rFonts w:ascii="Garamond" w:hAnsi="Garamond"/>
          <w:i/>
          <w:sz w:val="24"/>
          <w:szCs w:val="24"/>
        </w:rPr>
        <w:t>.</w:t>
      </w:r>
    </w:p>
    <w:p w:rsidR="009B0732" w:rsidRPr="005B482D" w:rsidRDefault="009B0732" w:rsidP="009B0732">
      <w:pPr>
        <w:spacing w:after="0" w:line="240" w:lineRule="auto"/>
        <w:rPr>
          <w:rFonts w:ascii="Garamond" w:hAnsi="Garamond"/>
          <w:sz w:val="24"/>
          <w:szCs w:val="24"/>
        </w:rPr>
      </w:pPr>
    </w:p>
    <w:p w:rsidR="009B0732" w:rsidRPr="005B482D" w:rsidRDefault="009B0732" w:rsidP="009B07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Garamond" w:hAnsi="Garamond"/>
          <w:color w:val="C94909"/>
          <w:sz w:val="24"/>
          <w:szCs w:val="24"/>
        </w:rPr>
      </w:pPr>
      <w:r w:rsidRPr="005B482D">
        <w:rPr>
          <w:rFonts w:ascii="Garamond" w:hAnsi="Garamond"/>
          <w:sz w:val="24"/>
          <w:szCs w:val="24"/>
        </w:rPr>
        <w:t xml:space="preserve">Connect with </w:t>
      </w:r>
      <w:r w:rsidRPr="005B482D">
        <w:rPr>
          <w:rFonts w:ascii="Garamond" w:hAnsi="Garamond"/>
          <w:i/>
          <w:sz w:val="24"/>
          <w:szCs w:val="24"/>
        </w:rPr>
        <w:t>Education Review</w:t>
      </w:r>
      <w:r w:rsidRPr="005B482D">
        <w:rPr>
          <w:rFonts w:ascii="Garamond" w:hAnsi="Garamond"/>
          <w:sz w:val="24"/>
          <w:szCs w:val="24"/>
        </w:rPr>
        <w:t xml:space="preserve"> on Facebook (</w:t>
      </w:r>
      <w:hyperlink r:id="rId24" w:history="1">
        <w:r w:rsidRPr="005B482D">
          <w:rPr>
            <w:rStyle w:val="Hyperlink"/>
            <w:rFonts w:ascii="Garamond" w:hAnsi="Garamond"/>
            <w:sz w:val="24"/>
            <w:szCs w:val="24"/>
          </w:rPr>
          <w:t>https://www.facebook.com/pages/Education-Review/178358222192644</w:t>
        </w:r>
      </w:hyperlink>
      <w:r w:rsidRPr="005B482D">
        <w:rPr>
          <w:rFonts w:ascii="Garamond" w:hAnsi="Garamond"/>
          <w:sz w:val="24"/>
          <w:szCs w:val="24"/>
        </w:rPr>
        <w:t>) and on Twitter @</w:t>
      </w:r>
      <w:proofErr w:type="spellStart"/>
      <w:r w:rsidRPr="005B482D">
        <w:rPr>
          <w:rFonts w:ascii="Garamond" w:hAnsi="Garamond"/>
          <w:noProof/>
          <w:sz w:val="24"/>
          <w:szCs w:val="24"/>
        </w:rPr>
        <w:t>EducReview</w:t>
      </w:r>
      <w:proofErr w:type="spellEnd"/>
    </w:p>
    <w:p w:rsidR="009B0732" w:rsidRPr="005B482D" w:rsidRDefault="009B0732" w:rsidP="009B0732">
      <w:pPr>
        <w:spacing w:after="0" w:line="340" w:lineRule="exact"/>
        <w:jc w:val="center"/>
        <w:rPr>
          <w:rFonts w:ascii="Garamond" w:hAnsi="Garamond"/>
          <w:color w:val="C94909"/>
          <w:spacing w:val="14"/>
          <w:sz w:val="24"/>
          <w:szCs w:val="24"/>
        </w:rPr>
      </w:pPr>
    </w:p>
    <w:p w:rsidR="009B0732" w:rsidRPr="005B482D" w:rsidRDefault="009B0732" w:rsidP="009B0732">
      <w:pPr>
        <w:rPr>
          <w:rFonts w:ascii="Garamond" w:hAnsi="Garamond"/>
        </w:rPr>
      </w:pPr>
    </w:p>
    <w:p w:rsidR="00375CD7" w:rsidRDefault="00BE476C"/>
    <w:sectPr w:rsidR="00375CD7" w:rsidSect="00EB7A2F">
      <w:type w:val="continuous"/>
      <w:pgSz w:w="12240" w:h="15840"/>
      <w:pgMar w:top="1440" w:right="135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76C" w:rsidRDefault="00BE476C">
      <w:pPr>
        <w:spacing w:after="0" w:line="240" w:lineRule="auto"/>
      </w:pPr>
      <w:r>
        <w:separator/>
      </w:r>
    </w:p>
  </w:endnote>
  <w:endnote w:type="continuationSeparator" w:id="0">
    <w:p w:rsidR="00BE476C" w:rsidRDefault="00B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T Serif">
    <w:altName w:val="Arial"/>
    <w:panose1 w:val="020A0603040505020204"/>
    <w:charset w:val="4D"/>
    <w:family w:val="roman"/>
    <w:pitch w:val="variable"/>
    <w:sig w:usb0="A00002EF" w:usb1="5000204B" w:usb2="00000000" w:usb3="00000000" w:csb0="00000097"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Pr="005B482D" w:rsidRDefault="00BE476C" w:rsidP="00483173">
    <w:pPr>
      <w:pStyle w:val="Footer"/>
      <w:tabs>
        <w:tab w:val="clear" w:pos="9360"/>
        <w:tab w:val="right" w:pos="9450"/>
      </w:tabs>
      <w:rPr>
        <w:rFonts w:ascii="Garamond" w:hAnsi="Garamond"/>
        <w:color w:val="FF6600"/>
        <w:sz w:val="22"/>
        <w:szCs w:val="22"/>
      </w:rPr>
    </w:pPr>
    <w:r>
      <w:rPr>
        <w:rFonts w:ascii="Garamond" w:hAnsi="Garamond"/>
        <w:noProof/>
        <w:color w:val="FF6600"/>
        <w:sz w:val="22"/>
        <w:szCs w:val="22"/>
      </w:rPr>
      <w:pict>
        <v:rect id="_x0000_i1026" alt="" style="width:468pt;height:.05pt;mso-width-percent:0;mso-height-percent:0;mso-width-percent:0;mso-height-percent:0" o:hralign="center" o:hrstd="t" o:hr="t" fillcolor="#aaa" stroked="f"/>
      </w:pict>
    </w:r>
  </w:p>
  <w:p w:rsidR="00487651" w:rsidRPr="005B482D" w:rsidRDefault="00636596" w:rsidP="00483173">
    <w:pPr>
      <w:spacing w:after="0" w:line="240" w:lineRule="auto"/>
      <w:rPr>
        <w:rFonts w:ascii="Garamond" w:hAnsi="Garamond"/>
        <w:sz w:val="22"/>
        <w:szCs w:val="22"/>
      </w:rPr>
    </w:pPr>
    <w:r>
      <w:rPr>
        <w:rFonts w:ascii="Garamond" w:hAnsi="Garamond"/>
        <w:sz w:val="22"/>
        <w:szCs w:val="22"/>
        <w:highlight w:val="cyan"/>
      </w:rPr>
      <w:t>Nkansah-Amankra, A</w:t>
    </w:r>
    <w:r w:rsidR="00E2380F" w:rsidRPr="00EB7A2F">
      <w:rPr>
        <w:rFonts w:ascii="Garamond" w:hAnsi="Garamond"/>
        <w:sz w:val="22"/>
        <w:szCs w:val="22"/>
        <w:highlight w:val="cyan"/>
      </w:rPr>
      <w:t>.</w:t>
    </w:r>
    <w:r w:rsidR="00E2380F" w:rsidRPr="005B482D">
      <w:rPr>
        <w:rFonts w:ascii="Garamond" w:hAnsi="Garamond"/>
        <w:sz w:val="22"/>
        <w:szCs w:val="22"/>
      </w:rPr>
      <w:t xml:space="preserve"> (</w:t>
    </w:r>
    <w:r w:rsidR="00E2380F" w:rsidRPr="005B482D">
      <w:rPr>
        <w:rFonts w:ascii="Garamond" w:hAnsi="Garamond"/>
        <w:sz w:val="22"/>
        <w:szCs w:val="22"/>
        <w:highlight w:val="yellow"/>
      </w:rPr>
      <w:t>EdRev will insert</w:t>
    </w:r>
    <w:r w:rsidR="00E2380F" w:rsidRPr="005B482D">
      <w:rPr>
        <w:rFonts w:ascii="Garamond" w:hAnsi="Garamond"/>
        <w:sz w:val="22"/>
        <w:szCs w:val="22"/>
      </w:rPr>
      <w:t xml:space="preserve"> </w:t>
    </w:r>
    <w:r w:rsidR="00E2380F" w:rsidRPr="005B482D">
      <w:rPr>
        <w:rFonts w:ascii="Garamond" w:hAnsi="Garamond"/>
        <w:sz w:val="22"/>
        <w:szCs w:val="22"/>
        <w:highlight w:val="yellow"/>
      </w:rPr>
      <w:t>date</w:t>
    </w:r>
    <w:r w:rsidR="00E2380F" w:rsidRPr="005B482D">
      <w:rPr>
        <w:rFonts w:ascii="Garamond" w:hAnsi="Garamond"/>
        <w:sz w:val="22"/>
        <w:szCs w:val="22"/>
      </w:rPr>
      <w:t>). Review of</w:t>
    </w:r>
    <w:r w:rsidR="00E2380F" w:rsidRPr="005B482D">
      <w:rPr>
        <w:rFonts w:ascii="Garamond" w:hAnsi="Garamond"/>
        <w:i/>
        <w:sz w:val="22"/>
        <w:szCs w:val="22"/>
      </w:rPr>
      <w:t xml:space="preserve"> </w:t>
    </w:r>
    <w:r w:rsidRPr="00636596">
      <w:rPr>
        <w:rFonts w:ascii="Garamond" w:hAnsi="Garamond"/>
        <w:bCs/>
        <w:i/>
        <w:sz w:val="22"/>
        <w:szCs w:val="22"/>
        <w:highlight w:val="cyan"/>
      </w:rPr>
      <w:t>Striving in common: A regional equity framework for urban schools</w:t>
    </w:r>
    <w:r w:rsidR="00E2380F" w:rsidRPr="005B482D">
      <w:rPr>
        <w:rFonts w:ascii="Garamond" w:hAnsi="Garamond"/>
        <w:sz w:val="22"/>
        <w:szCs w:val="22"/>
      </w:rPr>
      <w:t xml:space="preserve"> by </w:t>
    </w:r>
    <w:r w:rsidRPr="00636596">
      <w:rPr>
        <w:rFonts w:ascii="Garamond" w:hAnsi="Garamond"/>
        <w:bCs/>
        <w:sz w:val="22"/>
        <w:szCs w:val="22"/>
        <w:highlight w:val="cyan"/>
      </w:rPr>
      <w:t>Holme, J. J., &amp; Finnigan, K. S.</w:t>
    </w:r>
    <w:r w:rsidR="00E2380F" w:rsidRPr="005B482D">
      <w:rPr>
        <w:rFonts w:ascii="Garamond" w:hAnsi="Garamond"/>
        <w:sz w:val="22"/>
        <w:szCs w:val="22"/>
      </w:rPr>
      <w:t xml:space="preserve"> </w:t>
    </w:r>
    <w:r w:rsidR="00E2380F" w:rsidRPr="005B482D">
      <w:rPr>
        <w:rFonts w:ascii="Garamond" w:hAnsi="Garamond"/>
        <w:i/>
        <w:sz w:val="22"/>
        <w:szCs w:val="22"/>
      </w:rPr>
      <w:t>Education Review</w:t>
    </w:r>
    <w:r w:rsidR="00E2380F">
      <w:rPr>
        <w:rFonts w:ascii="Garamond" w:hAnsi="Garamond"/>
        <w:sz w:val="22"/>
        <w:szCs w:val="22"/>
      </w:rPr>
      <w:t xml:space="preserve">, </w:t>
    </w:r>
    <w:r w:rsidR="008E5932" w:rsidRPr="008E5932">
      <w:rPr>
        <w:rFonts w:ascii="Garamond" w:hAnsi="Garamond"/>
        <w:i/>
        <w:sz w:val="22"/>
        <w:szCs w:val="22"/>
      </w:rPr>
      <w:t>2</w:t>
    </w:r>
    <w:r w:rsidR="00414B15">
      <w:rPr>
        <w:rFonts w:ascii="Garamond" w:hAnsi="Garamond"/>
        <w:i/>
        <w:sz w:val="22"/>
        <w:szCs w:val="22"/>
      </w:rPr>
      <w:t>7</w:t>
    </w:r>
    <w:r w:rsidR="00E2380F" w:rsidRPr="005B482D">
      <w:rPr>
        <w:rFonts w:ascii="Garamond" w:hAnsi="Garamond"/>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Default="00BE47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Default="00BE476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Default="00BE476C">
    <w:pPr>
      <w:pStyle w:val="Footer"/>
      <w:ind w:left="450"/>
      <w:rPr>
        <w:rFonts w:ascii="Garamond" w:hAnsi="Garamond" w:cs="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76C" w:rsidRDefault="00BE476C">
      <w:pPr>
        <w:spacing w:after="0" w:line="240" w:lineRule="auto"/>
      </w:pPr>
      <w:r>
        <w:separator/>
      </w:r>
    </w:p>
  </w:footnote>
  <w:footnote w:type="continuationSeparator" w:id="0">
    <w:p w:rsidR="00BE476C" w:rsidRDefault="00BE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Pr="005B482D" w:rsidRDefault="00E2380F" w:rsidP="00C867A5">
    <w:pPr>
      <w:pStyle w:val="Header"/>
      <w:framePr w:wrap="around" w:vAnchor="text" w:hAnchor="margin" w:xAlign="right" w:y="1"/>
      <w:rPr>
        <w:rStyle w:val="PageNumber"/>
        <w:rFonts w:ascii="Garamond" w:hAnsi="Garamond"/>
        <w:sz w:val="22"/>
        <w:szCs w:val="22"/>
      </w:rPr>
    </w:pPr>
    <w:r w:rsidRPr="005B482D">
      <w:rPr>
        <w:rStyle w:val="PageNumber"/>
        <w:rFonts w:ascii="Garamond" w:hAnsi="Garamond"/>
        <w:sz w:val="22"/>
        <w:szCs w:val="22"/>
      </w:rPr>
      <w:fldChar w:fldCharType="begin"/>
    </w:r>
    <w:r w:rsidRPr="005B482D">
      <w:rPr>
        <w:rStyle w:val="PageNumber"/>
        <w:rFonts w:ascii="Garamond" w:hAnsi="Garamond"/>
        <w:sz w:val="22"/>
        <w:szCs w:val="22"/>
      </w:rPr>
      <w:instrText xml:space="preserve">PAGE  </w:instrText>
    </w:r>
    <w:r w:rsidRPr="005B482D">
      <w:rPr>
        <w:rStyle w:val="PageNumber"/>
        <w:rFonts w:ascii="Garamond" w:hAnsi="Garamond"/>
        <w:sz w:val="22"/>
        <w:szCs w:val="22"/>
      </w:rPr>
      <w:fldChar w:fldCharType="separate"/>
    </w:r>
    <w:r w:rsidR="0075381F">
      <w:rPr>
        <w:rStyle w:val="PageNumber"/>
        <w:rFonts w:ascii="Garamond" w:hAnsi="Garamond"/>
        <w:noProof/>
        <w:sz w:val="22"/>
        <w:szCs w:val="22"/>
      </w:rPr>
      <w:t>2</w:t>
    </w:r>
    <w:r w:rsidRPr="005B482D">
      <w:rPr>
        <w:rStyle w:val="PageNumber"/>
        <w:rFonts w:ascii="Garamond" w:hAnsi="Garamond"/>
        <w:sz w:val="22"/>
        <w:szCs w:val="22"/>
      </w:rPr>
      <w:fldChar w:fldCharType="end"/>
    </w:r>
  </w:p>
  <w:p w:rsidR="00EB7A2F" w:rsidRPr="00EB7A2F" w:rsidRDefault="00E2380F" w:rsidP="00EB7A2F">
    <w:pPr>
      <w:pStyle w:val="Header"/>
      <w:rPr>
        <w:rFonts w:ascii="Garamond" w:hAnsi="Garamond"/>
        <w:i/>
        <w:sz w:val="22"/>
        <w:szCs w:val="22"/>
      </w:rPr>
    </w:pPr>
    <w:r w:rsidRPr="00EB7A2F">
      <w:rPr>
        <w:rFonts w:ascii="Garamond" w:hAnsi="Garamond"/>
        <w:i/>
        <w:sz w:val="22"/>
        <w:szCs w:val="22"/>
      </w:rPr>
      <w:t>Education Review /</w:t>
    </w:r>
    <w:proofErr w:type="spellStart"/>
    <w:r w:rsidRPr="00EB7A2F">
      <w:rPr>
        <w:rFonts w:ascii="Garamond" w:hAnsi="Garamond"/>
        <w:i/>
        <w:sz w:val="22"/>
        <w:szCs w:val="22"/>
      </w:rPr>
      <w:t>Reseñas</w:t>
    </w:r>
    <w:proofErr w:type="spellEnd"/>
    <w:r w:rsidRPr="00EB7A2F">
      <w:rPr>
        <w:rFonts w:ascii="Garamond" w:hAnsi="Garamond"/>
        <w:i/>
        <w:sz w:val="22"/>
        <w:szCs w:val="22"/>
      </w:rPr>
      <w:t xml:space="preserve"> </w:t>
    </w:r>
    <w:proofErr w:type="spellStart"/>
    <w:r w:rsidRPr="00EB7A2F">
      <w:rPr>
        <w:rFonts w:ascii="Garamond" w:hAnsi="Garamond"/>
        <w:i/>
        <w:sz w:val="22"/>
        <w:szCs w:val="22"/>
      </w:rPr>
      <w:t>Educativas</w:t>
    </w:r>
    <w:proofErr w:type="spellEnd"/>
  </w:p>
  <w:p w:rsidR="00487651" w:rsidRPr="005B482D" w:rsidRDefault="00BE476C" w:rsidP="00C867A5">
    <w:pPr>
      <w:pStyle w:val="Header"/>
      <w:ind w:right="360"/>
      <w:rPr>
        <w:rFonts w:ascii="Garamond" w:hAnsi="Garamond"/>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Default="00BE476C">
    <w:pPr>
      <w:pStyle w:val="Header"/>
      <w:jc w:val="right"/>
    </w:pPr>
  </w:p>
  <w:p w:rsidR="00487651" w:rsidRDefault="00E2380F">
    <w:pPr>
      <w:pStyle w:val="Header"/>
      <w:tabs>
        <w:tab w:val="left" w:pos="450"/>
      </w:tabs>
    </w:pPr>
    <w:r>
      <w:tab/>
    </w:r>
    <w:r>
      <w:rPr>
        <w:rFonts w:ascii="Garamond" w:hAnsi="Garamond" w:cs="Garamond"/>
        <w:b/>
        <w:i/>
        <w:color w:val="C94909"/>
      </w:rPr>
      <w:t>Education Review  http://www.edrev.info</w:t>
    </w:r>
    <w:r>
      <w:tab/>
    </w:r>
    <w:r>
      <w:tab/>
    </w:r>
    <w:r>
      <w:rPr>
        <w:color w:val="C94909"/>
      </w:rPr>
      <w:fldChar w:fldCharType="begin"/>
    </w:r>
    <w:r>
      <w:rPr>
        <w:color w:val="C94909"/>
      </w:rPr>
      <w:instrText xml:space="preserve"> PAGE </w:instrText>
    </w:r>
    <w:r>
      <w:rPr>
        <w:color w:val="C94909"/>
      </w:rPr>
      <w:fldChar w:fldCharType="separate"/>
    </w:r>
    <w:r>
      <w:rPr>
        <w:noProof/>
        <w:color w:val="C94909"/>
      </w:rPr>
      <w:t>2</w:t>
    </w:r>
    <w:r>
      <w:rPr>
        <w:color w:val="C94909"/>
      </w:rPr>
      <w:fldChar w:fldCharType="end"/>
    </w:r>
  </w:p>
  <w:p w:rsidR="00487651" w:rsidRDefault="00E2380F">
    <w:pPr>
      <w:pStyle w:val="Header"/>
      <w:ind w:left="360"/>
      <w:rPr>
        <w:rFonts w:ascii="Garamond" w:hAnsi="Garamond" w:cs="Garamond"/>
        <w:i/>
        <w:sz w:val="24"/>
        <w:szCs w:val="24"/>
        <w:u w:val="single"/>
      </w:rPr>
    </w:pPr>
    <w:r>
      <w:rPr>
        <w:noProof/>
      </w:rPr>
      <mc:AlternateContent>
        <mc:Choice Requires="wps">
          <w:drawing>
            <wp:anchor distT="0" distB="0" distL="114300" distR="114300" simplePos="0" relativeHeight="251659264" behindDoc="1" locked="0" layoutInCell="1" allowOverlap="1" wp14:anchorId="12B1F65B" wp14:editId="5044C325">
              <wp:simplePos x="0" y="0"/>
              <wp:positionH relativeFrom="column">
                <wp:posOffset>295275</wp:posOffset>
              </wp:positionH>
              <wp:positionV relativeFrom="paragraph">
                <wp:posOffset>30480</wp:posOffset>
              </wp:positionV>
              <wp:extent cx="5725160" cy="1270"/>
              <wp:effectExtent l="104775" t="106680" r="113665" b="1079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160" cy="1270"/>
                      </a:xfrm>
                      <a:prstGeom prst="straightConnector1">
                        <a:avLst/>
                      </a:prstGeom>
                      <a:noFill/>
                      <a:ln w="19080" cap="sq">
                        <a:solidFill>
                          <a:srgbClr val="C94909"/>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88896A" id="_x0000_t32" coordsize="21600,21600" o:spt="32" o:oned="t" path="m,l21600,21600e" filled="f">
              <v:path arrowok="t" fillok="f" o:connecttype="none"/>
              <o:lock v:ext="edit" shapetype="t"/>
            </v:shapetype>
            <v:shape id="AutoShape 2" o:spid="_x0000_s1026" type="#_x0000_t32" style="position:absolute;margin-left:23.25pt;margin-top:2.4pt;width:450.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" strokecolor="#c94909" strokeweight=".53mm">
              <v:stroke joinstyle="miter" endcap="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Pr="002A4489" w:rsidRDefault="00BE476C" w:rsidP="00C867A5">
    <w:pPr>
      <w:spacing w:after="0"/>
      <w:ind w:left="-180" w:right="-180"/>
      <w:jc w:val="right"/>
      <w:rPr>
        <w:rFonts w:ascii="PT Serif" w:hAnsi="PT Serif" w:cs="Candara"/>
        <w:b/>
        <w:spacing w:val="20"/>
        <w:sz w:val="30"/>
        <w:szCs w:val="30"/>
      </w:rPr>
    </w:pPr>
  </w:p>
  <w:p w:rsidR="00487651" w:rsidRPr="00820E08" w:rsidRDefault="00E2380F" w:rsidP="00C867A5">
    <w:pPr>
      <w:spacing w:after="0"/>
      <w:ind w:left="-180" w:right="-180"/>
      <w:jc w:val="center"/>
      <w:rPr>
        <w:rFonts w:ascii="PT Serif" w:hAnsi="PT Serif" w:cs="Candara"/>
        <w:i/>
      </w:rPr>
    </w:pPr>
    <w:r>
      <w:rPr>
        <w:rFonts w:ascii="PT Serif" w:hAnsi="PT Serif" w:cs="Candara"/>
        <w:i/>
        <w:noProof/>
      </w:rPr>
      <w:drawing>
        <wp:inline distT="0" distB="0" distL="0" distR="0" wp14:anchorId="78FF4438" wp14:editId="73E91A1E">
          <wp:extent cx="5507785"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anner.jpg"/>
                  <pic:cNvPicPr/>
                </pic:nvPicPr>
                <pic:blipFill>
                  <a:blip r:embed="rId1">
                    <a:extLst>
                      <a:ext uri="{28A0092B-C50C-407E-A947-70E740481C1C}">
                        <a14:useLocalDpi xmlns:a14="http://schemas.microsoft.com/office/drawing/2010/main" val="0"/>
                      </a:ext>
                    </a:extLst>
                  </a:blip>
                  <a:stretch>
                    <a:fillRect/>
                  </a:stretch>
                </pic:blipFill>
                <pic:spPr>
                  <a:xfrm>
                    <a:off x="0" y="0"/>
                    <a:ext cx="5518611" cy="118342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Pr="002213CF" w:rsidRDefault="00E2380F" w:rsidP="00C867A5">
    <w:pPr>
      <w:pStyle w:val="Header"/>
      <w:framePr w:wrap="around" w:vAnchor="text" w:hAnchor="margin" w:xAlign="right" w:y="1"/>
      <w:rPr>
        <w:rStyle w:val="PageNumber"/>
        <w:sz w:val="22"/>
        <w:szCs w:val="22"/>
      </w:rPr>
    </w:pPr>
    <w:r w:rsidRPr="002213CF">
      <w:rPr>
        <w:rStyle w:val="PageNumber"/>
        <w:sz w:val="22"/>
        <w:szCs w:val="22"/>
      </w:rPr>
      <w:fldChar w:fldCharType="begin"/>
    </w:r>
    <w:r w:rsidRPr="002213CF">
      <w:rPr>
        <w:rStyle w:val="PageNumber"/>
        <w:sz w:val="22"/>
        <w:szCs w:val="22"/>
      </w:rPr>
      <w:instrText xml:space="preserve">PAGE  </w:instrText>
    </w:r>
    <w:r w:rsidRPr="002213CF">
      <w:rPr>
        <w:rStyle w:val="PageNumber"/>
        <w:sz w:val="22"/>
        <w:szCs w:val="22"/>
      </w:rPr>
      <w:fldChar w:fldCharType="separate"/>
    </w:r>
    <w:r w:rsidR="0075381F">
      <w:rPr>
        <w:rStyle w:val="PageNumber"/>
        <w:noProof/>
        <w:sz w:val="22"/>
        <w:szCs w:val="22"/>
      </w:rPr>
      <w:t>3</w:t>
    </w:r>
    <w:r w:rsidRPr="002213CF">
      <w:rPr>
        <w:rStyle w:val="PageNumber"/>
        <w:sz w:val="22"/>
        <w:szCs w:val="22"/>
      </w:rPr>
      <w:fldChar w:fldCharType="end"/>
    </w:r>
  </w:p>
  <w:p w:rsidR="00487651" w:rsidRPr="00EB7A2F" w:rsidRDefault="00E2380F" w:rsidP="00C867A5">
    <w:pPr>
      <w:pStyle w:val="Header"/>
      <w:ind w:right="360"/>
      <w:rPr>
        <w:rFonts w:ascii="Garamond" w:hAnsi="Garamond"/>
        <w:i/>
        <w:sz w:val="22"/>
        <w:szCs w:val="22"/>
      </w:rPr>
    </w:pPr>
    <w:r w:rsidRPr="00EB7A2F">
      <w:rPr>
        <w:rFonts w:ascii="Garamond" w:hAnsi="Garamond"/>
        <w:i/>
        <w:sz w:val="22"/>
        <w:szCs w:val="22"/>
      </w:rPr>
      <w:t xml:space="preserve">Review of </w:t>
    </w:r>
    <w:r w:rsidR="00E94FE3">
      <w:rPr>
        <w:rFonts w:ascii="Garamond" w:hAnsi="Garamond"/>
        <w:i/>
        <w:sz w:val="22"/>
        <w:szCs w:val="22"/>
        <w:highlight w:val="cyan"/>
      </w:rPr>
      <w:t>Striving in Common</w:t>
    </w:r>
    <w:r w:rsidRPr="00EB7A2F">
      <w:rPr>
        <w:rFonts w:ascii="Garamond" w:hAnsi="Garamond"/>
        <w:i/>
        <w:sz w:val="22"/>
        <w:szCs w:val="22"/>
      </w:rPr>
      <w:t xml:space="preserve"> by </w:t>
    </w:r>
    <w:r w:rsidR="00E94FE3" w:rsidRPr="00E94FE3">
      <w:rPr>
        <w:rFonts w:ascii="Garamond" w:hAnsi="Garamond"/>
        <w:i/>
        <w:sz w:val="22"/>
        <w:szCs w:val="22"/>
        <w:highlight w:val="cyan"/>
      </w:rPr>
      <w:t>Akua Nkansah-Amankra</w:t>
    </w:r>
    <w:r w:rsidRPr="00EB7A2F">
      <w:rPr>
        <w:rFonts w:ascii="Garamond" w:hAnsi="Garamond"/>
        <w:i/>
        <w:sz w:val="22"/>
        <w:szCs w:val="22"/>
      </w:rPr>
      <w:tab/>
    </w:r>
    <w:r w:rsidRPr="00EB7A2F">
      <w:rPr>
        <w:rFonts w:ascii="Garamond" w:hAnsi="Garamond"/>
        <w:i/>
        <w:sz w:val="22"/>
        <w:szCs w:val="22"/>
      </w:rPr>
      <w:tab/>
    </w:r>
  </w:p>
  <w:p w:rsidR="00487651" w:rsidRPr="002213CF" w:rsidRDefault="00BE476C" w:rsidP="00C867A5">
    <w:pPr>
      <w:pStyle w:val="Header"/>
      <w:tabs>
        <w:tab w:val="left" w:pos="0"/>
      </w:tabs>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651" w:rsidRDefault="00BE476C">
    <w:pPr>
      <w:pStyle w:val="Header"/>
      <w:ind w:lef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10E14"/>
    <w:multiLevelType w:val="hybridMultilevel"/>
    <w:tmpl w:val="A398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34E0"/>
    <w:multiLevelType w:val="hybridMultilevel"/>
    <w:tmpl w:val="57FCE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804EF0"/>
    <w:multiLevelType w:val="multilevel"/>
    <w:tmpl w:val="57FCE9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D830B5D"/>
    <w:multiLevelType w:val="hybridMultilevel"/>
    <w:tmpl w:val="348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32"/>
    <w:rsid w:val="00164121"/>
    <w:rsid w:val="002016A5"/>
    <w:rsid w:val="00390C72"/>
    <w:rsid w:val="00414B15"/>
    <w:rsid w:val="00636596"/>
    <w:rsid w:val="0075381F"/>
    <w:rsid w:val="00754C1C"/>
    <w:rsid w:val="007F7ECB"/>
    <w:rsid w:val="00831758"/>
    <w:rsid w:val="008C4722"/>
    <w:rsid w:val="008E5932"/>
    <w:rsid w:val="009949D0"/>
    <w:rsid w:val="009B0732"/>
    <w:rsid w:val="009F28E8"/>
    <w:rsid w:val="00A10667"/>
    <w:rsid w:val="00A247CE"/>
    <w:rsid w:val="00A972DF"/>
    <w:rsid w:val="00AD75A6"/>
    <w:rsid w:val="00B049A3"/>
    <w:rsid w:val="00BE476C"/>
    <w:rsid w:val="00CA3C43"/>
    <w:rsid w:val="00D50027"/>
    <w:rsid w:val="00D74678"/>
    <w:rsid w:val="00DA1934"/>
    <w:rsid w:val="00E2380F"/>
    <w:rsid w:val="00E94FE3"/>
    <w:rsid w:val="00ED5E6E"/>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FE830"/>
  <w15:chartTrackingRefBased/>
  <w15:docId w15:val="{9C694581-E08B-4D52-8F2B-FFF2C527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732"/>
    <w:pPr>
      <w:suppressAutoHyphens/>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B0732"/>
  </w:style>
  <w:style w:type="paragraph" w:styleId="Header">
    <w:name w:val="header"/>
    <w:basedOn w:val="Normal"/>
    <w:link w:val="HeaderChar"/>
    <w:rsid w:val="009B0732"/>
    <w:pPr>
      <w:tabs>
        <w:tab w:val="center" w:pos="4680"/>
        <w:tab w:val="right" w:pos="9360"/>
      </w:tabs>
      <w:spacing w:after="0" w:line="240" w:lineRule="auto"/>
    </w:pPr>
  </w:style>
  <w:style w:type="character" w:customStyle="1" w:styleId="HeaderChar">
    <w:name w:val="Header Char"/>
    <w:basedOn w:val="DefaultParagraphFont"/>
    <w:link w:val="Header"/>
    <w:rsid w:val="009B0732"/>
    <w:rPr>
      <w:rFonts w:ascii="Times New Roman" w:eastAsia="Times New Roman" w:hAnsi="Times New Roman" w:cs="Times New Roman"/>
      <w:sz w:val="20"/>
      <w:szCs w:val="20"/>
    </w:rPr>
  </w:style>
  <w:style w:type="paragraph" w:styleId="Footer">
    <w:name w:val="footer"/>
    <w:basedOn w:val="Normal"/>
    <w:link w:val="FooterChar"/>
    <w:rsid w:val="009B0732"/>
    <w:pPr>
      <w:tabs>
        <w:tab w:val="center" w:pos="4680"/>
        <w:tab w:val="right" w:pos="9360"/>
      </w:tabs>
      <w:spacing w:after="0" w:line="240" w:lineRule="auto"/>
    </w:pPr>
  </w:style>
  <w:style w:type="character" w:customStyle="1" w:styleId="FooterChar">
    <w:name w:val="Footer Char"/>
    <w:basedOn w:val="DefaultParagraphFont"/>
    <w:link w:val="Footer"/>
    <w:rsid w:val="009B073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B0732"/>
  </w:style>
  <w:style w:type="paragraph" w:styleId="ListParagraph">
    <w:name w:val="List Paragraph"/>
    <w:basedOn w:val="Normal"/>
    <w:uiPriority w:val="34"/>
    <w:qFormat/>
    <w:rsid w:val="009B0732"/>
    <w:pPr>
      <w:ind w:left="720"/>
      <w:contextualSpacing/>
    </w:pPr>
  </w:style>
  <w:style w:type="character" w:styleId="UnresolvedMention">
    <w:name w:val="Unresolved Mention"/>
    <w:basedOn w:val="DefaultParagraphFont"/>
    <w:uiPriority w:val="99"/>
    <w:semiHidden/>
    <w:unhideWhenUsed/>
    <w:rsid w:val="00E94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www.theatlantic.com/education/archive/2017/04/is-school-choice-really-a-form-of-freedom/52308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kansaha@usc.ed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3102/0013189X07308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facebook.com/pages/Education-Review/178358222192644"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hyperlink" Target="https://doi.org/10.1177/0003122409074005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34A6-600C-C54F-9876-53D54275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edXchange</dc:creator>
  <cp:keywords/>
  <dc:description/>
  <cp:lastModifiedBy>Akua Nkansah-Amankra</cp:lastModifiedBy>
  <cp:revision>4</cp:revision>
  <dcterms:created xsi:type="dcterms:W3CDTF">2020-07-10T17:26:00Z</dcterms:created>
  <dcterms:modified xsi:type="dcterms:W3CDTF">2020-07-10T18:13:00Z</dcterms:modified>
</cp:coreProperties>
</file>