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Pinkett, M., &amp; Roberts, M. (2019). </w:t>
      </w:r>
      <w:r w:rsidDel="00000000" w:rsidR="00000000" w:rsidRPr="00000000">
        <w:rPr>
          <w:i w:val="1"/>
          <w:rtl w:val="0"/>
        </w:rPr>
        <w:t xml:space="preserve">Boys Don't Try? Rethinking Masculinity in Schools</w:t>
      </w:r>
      <w:r w:rsidDel="00000000" w:rsidR="00000000" w:rsidRPr="00000000">
        <w:rPr>
          <w:rtl w:val="0"/>
        </w:rPr>
        <w:t xml:space="preserve">. Routledge.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ISBN-13: 978-0815350255 </w:t>
      </w:r>
    </w:p>
    <w:p w:rsidR="00000000" w:rsidDel="00000000" w:rsidP="00000000" w:rsidRDefault="00000000" w:rsidRPr="00000000" w14:paraId="00000004">
      <w:pPr>
        <w:rPr/>
      </w:pPr>
      <w:r w:rsidDel="00000000" w:rsidR="00000000" w:rsidRPr="00000000">
        <w:rPr>
          <w:rtl w:val="0"/>
        </w:rPr>
        <w:t xml:space="preserve">ISBN-10: 0815350252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rtl w:val="0"/>
        </w:rPr>
        <w:t xml:space="preserve">For her most recent book, </w:t>
      </w:r>
      <w:r w:rsidDel="00000000" w:rsidR="00000000" w:rsidRPr="00000000">
        <w:rPr>
          <w:i w:val="1"/>
          <w:rtl w:val="0"/>
        </w:rPr>
        <w:t xml:space="preserve">Boys and Sex</w:t>
      </w:r>
      <w:r w:rsidDel="00000000" w:rsidR="00000000" w:rsidRPr="00000000">
        <w:rPr>
          <w:rtl w:val="0"/>
        </w:rPr>
        <w:t xml:space="preserve">, Award-winning journalist Peggy Orenstein spent two years speaking with hundreds of boys about their indoctrination into toxically masculine ways of being. Orenstein’s findings are troubling in some ways. For example when asked to describe the attributes of “the ideal guy,” those same boys appeared to be harking back to 1955. Dominance. Aggression. Rugged good looks (with an emphasis on height). Sexual prowess. Stoicism. Athleticism. Wealth (at least some day).Yet, like many in the education field, Orenstein hopes that understanding might catalyze substantial change in how we educate boys: </w:t>
      </w:r>
    </w:p>
    <w:p w:rsidR="00000000" w:rsidDel="00000000" w:rsidP="00000000" w:rsidRDefault="00000000" w:rsidRPr="00000000" w14:paraId="00000007">
      <w:pPr>
        <w:spacing w:line="276" w:lineRule="auto"/>
        <w:rPr/>
      </w:pPr>
      <w:r w:rsidDel="00000000" w:rsidR="00000000" w:rsidRPr="00000000">
        <w:rPr>
          <w:rtl w:val="0"/>
        </w:rPr>
      </w:r>
    </w:p>
    <w:p w:rsidR="00000000" w:rsidDel="00000000" w:rsidP="00000000" w:rsidRDefault="00000000" w:rsidRPr="00000000" w14:paraId="00000008">
      <w:pPr>
        <w:ind w:left="720" w:firstLine="0"/>
        <w:rPr/>
      </w:pPr>
      <w:r w:rsidDel="00000000" w:rsidR="00000000" w:rsidRPr="00000000">
        <w:rPr>
          <w:rtl w:val="0"/>
        </w:rPr>
        <w:t xml:space="preserve">Now it’s time to rethink assumptions about how we raise boys. That will require models of manhood that are neither ashamed nor regressive, and that emphasize emotional flexibility—a hallmark of mental health. Stoicism is valuable sometimes, as is free expression; toughness and tenderness can coexist in one human. In the right context, physical aggression is fun, satisfying, even thrilling. If your response to all of this is </w:t>
      </w:r>
      <w:r w:rsidDel="00000000" w:rsidR="00000000" w:rsidRPr="00000000">
        <w:rPr>
          <w:i w:val="1"/>
          <w:rtl w:val="0"/>
        </w:rPr>
        <w:t xml:space="preserve">Obviously</w:t>
      </w:r>
      <w:r w:rsidDel="00000000" w:rsidR="00000000" w:rsidRPr="00000000">
        <w:rPr>
          <w:rtl w:val="0"/>
        </w:rPr>
        <w:t xml:space="preserve">, I’d say: Sure, but it’s a mistake to underestimate the strength and durability of the cultural machinery at work on adolescent boys. Real change will require a sustained, collective effort on the part of fathers, mothers, teachers, coaches (</w:t>
      </w:r>
      <w:r w:rsidDel="00000000" w:rsidR="00000000" w:rsidRPr="00000000">
        <w:rPr>
          <w:rtl w:val="0"/>
        </w:rPr>
        <w:t xml:space="preserve">Orenstein, 2019</w:t>
      </w:r>
      <w:r w:rsidDel="00000000" w:rsidR="00000000" w:rsidRPr="00000000">
        <w:rPr>
          <w:rtl w:val="0"/>
        </w:rPr>
        <w:t xml:space="preserve">, p.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spacing w:line="276" w:lineRule="auto"/>
        <w:rPr/>
      </w:pPr>
      <w:r w:rsidDel="00000000" w:rsidR="00000000" w:rsidRPr="00000000">
        <w:rPr>
          <w:i w:val="1"/>
          <w:rtl w:val="0"/>
        </w:rPr>
        <w:t xml:space="preserve">Boys Don’t Try? Rethinking Masculinity in Schools </w:t>
      </w:r>
      <w:r w:rsidDel="00000000" w:rsidR="00000000" w:rsidRPr="00000000">
        <w:rPr>
          <w:rtl w:val="0"/>
        </w:rPr>
        <w:t xml:space="preserve">by Matt Pinkett and Mark Roberts functions as a road map for bringing about the change we wish to see. The book is a valuable tool for school leaders and teachers at all levels, and it offers practical steps called for by Orenstein to help thwart the salient, dangerous masculinities underlying the harrowing fact that boys are three times more likely than women to be victims of suicide (p. 2). If those compelled by this vexing statistic agree that harmful masculinities often thrive in school settings, </w:t>
      </w:r>
      <w:r w:rsidDel="00000000" w:rsidR="00000000" w:rsidRPr="00000000">
        <w:rPr>
          <w:rtl w:val="0"/>
        </w:rPr>
        <w:t xml:space="preserve">then Pinkett’s and Robert’s research-based suggestions are a welcomed addition to the assemblage of educators aiming to eradicate injurious masculinities.</w:t>
      </w:r>
      <w:r w:rsidDel="00000000" w:rsidR="00000000" w:rsidRPr="00000000">
        <w:rPr>
          <w:rtl w:val="0"/>
        </w:rPr>
      </w:r>
    </w:p>
    <w:p w:rsidR="00000000" w:rsidDel="00000000" w:rsidP="00000000" w:rsidRDefault="00000000" w:rsidRPr="00000000" w14:paraId="0000000B">
      <w:pPr>
        <w:spacing w:line="276" w:lineRule="auto"/>
        <w:rPr/>
      </w:pPr>
      <w:r w:rsidDel="00000000" w:rsidR="00000000" w:rsidRPr="00000000">
        <w:rPr>
          <w:rtl w:val="0"/>
        </w:rPr>
      </w:r>
    </w:p>
    <w:p w:rsidR="00000000" w:rsidDel="00000000" w:rsidP="00000000" w:rsidRDefault="00000000" w:rsidRPr="00000000" w14:paraId="0000000C">
      <w:pPr>
        <w:spacing w:line="276" w:lineRule="auto"/>
        <w:rPr/>
      </w:pPr>
      <w:r w:rsidDel="00000000" w:rsidR="00000000" w:rsidRPr="00000000">
        <w:rPr>
          <w:rtl w:val="0"/>
        </w:rPr>
        <w:t xml:space="preserve">The authors, both white men with plenty of experience in hyper-masculinized spaces, posit that reasons for the disconcerting statistic are complex. Their primary objective is to embolden teachers with the know-how for combatting harmful masculinity in education spaces. Toward that aim, the author’s foreground a binary: </w:t>
      </w:r>
      <w:r w:rsidDel="00000000" w:rsidR="00000000" w:rsidRPr="00000000">
        <w:rPr>
          <w:i w:val="1"/>
          <w:rtl w:val="0"/>
        </w:rPr>
        <w:t xml:space="preserve">non-tender-masculinity</w:t>
      </w:r>
      <w:r w:rsidDel="00000000" w:rsidR="00000000" w:rsidRPr="00000000">
        <w:rPr>
          <w:rtl w:val="0"/>
        </w:rPr>
        <w:t xml:space="preserve">/</w:t>
      </w:r>
      <w:r w:rsidDel="00000000" w:rsidR="00000000" w:rsidRPr="00000000">
        <w:rPr>
          <w:i w:val="1"/>
          <w:rtl w:val="0"/>
        </w:rPr>
        <w:t xml:space="preserve">tender masculinity</w:t>
      </w:r>
      <w:r w:rsidDel="00000000" w:rsidR="00000000" w:rsidRPr="00000000">
        <w:rPr>
          <w:rtl w:val="0"/>
        </w:rPr>
        <w:t xml:space="preserve">. According to the authors, we can and should teach to the latter. </w:t>
      </w:r>
    </w:p>
    <w:p w:rsidR="00000000" w:rsidDel="00000000" w:rsidP="00000000" w:rsidRDefault="00000000" w:rsidRPr="00000000" w14:paraId="0000000D">
      <w:pPr>
        <w:spacing w:line="276" w:lineRule="auto"/>
        <w:rPr/>
      </w:pPr>
      <w:r w:rsidDel="00000000" w:rsidR="00000000" w:rsidRPr="00000000">
        <w:rPr>
          <w:rtl w:val="0"/>
        </w:rPr>
      </w:r>
    </w:p>
    <w:p w:rsidR="00000000" w:rsidDel="00000000" w:rsidP="00000000" w:rsidRDefault="00000000" w:rsidRPr="00000000" w14:paraId="0000000E">
      <w:pPr>
        <w:spacing w:line="276" w:lineRule="auto"/>
        <w:rPr/>
      </w:pPr>
      <w:r w:rsidDel="00000000" w:rsidR="00000000" w:rsidRPr="00000000">
        <w:rPr>
          <w:rtl w:val="0"/>
        </w:rPr>
        <w:t xml:space="preserve">Veteran teachers </w:t>
      </w:r>
      <w:r w:rsidDel="00000000" w:rsidR="00000000" w:rsidRPr="00000000">
        <w:rPr>
          <w:rtl w:val="0"/>
        </w:rPr>
        <w:t xml:space="preserve">hoping to keep abreast of recent</w:t>
      </w:r>
      <w:r w:rsidDel="00000000" w:rsidR="00000000" w:rsidRPr="00000000">
        <w:rPr>
          <w:rtl w:val="0"/>
        </w:rPr>
        <w:t xml:space="preserve"> scholarship, and new teachers unfamiliar with</w:t>
      </w:r>
      <w:r w:rsidDel="00000000" w:rsidR="00000000" w:rsidRPr="00000000">
        <w:rPr>
          <w:rtl w:val="0"/>
        </w:rPr>
        <w:t xml:space="preserve"> </w:t>
      </w:r>
      <w:r w:rsidDel="00000000" w:rsidR="00000000" w:rsidRPr="00000000">
        <w:rPr>
          <w:rtl w:val="0"/>
        </w:rPr>
        <w:t xml:space="preserve">inclusive approaches to education, will benefit from the grounded, pragmatic approaches in the text. For educators desiring to cultivate safe spaces, or wondering how best to counter harmful masculine stereotypes in traditional educational settings, this book has good suggestions.</w:t>
      </w:r>
    </w:p>
    <w:p w:rsidR="00000000" w:rsidDel="00000000" w:rsidP="00000000" w:rsidRDefault="00000000" w:rsidRPr="00000000" w14:paraId="0000000F">
      <w:pPr>
        <w:spacing w:line="276" w:lineRule="auto"/>
        <w:rPr/>
      </w:pPr>
      <w:r w:rsidDel="00000000" w:rsidR="00000000" w:rsidRPr="00000000">
        <w:rPr>
          <w:rtl w:val="0"/>
        </w:rPr>
      </w:r>
    </w:p>
    <w:p w:rsidR="00000000" w:rsidDel="00000000" w:rsidP="00000000" w:rsidRDefault="00000000" w:rsidRPr="00000000" w14:paraId="00000010">
      <w:pPr>
        <w:spacing w:line="276" w:lineRule="auto"/>
        <w:rPr/>
      </w:pPr>
      <w:r w:rsidDel="00000000" w:rsidR="00000000" w:rsidRPr="00000000">
        <w:rPr>
          <w:rtl w:val="0"/>
        </w:rPr>
        <w:t xml:space="preserve">The authors make clear in the introduction that each chapter is meant to address a broad topic: getting boys to engage; peer pressure; mental health; sexism; violence; relationships; best practices. Within each chapter one of the authors details a relevant personal experience. Those anecdotes are then paired with research-based suggestions for how to mitigate the negative consequences of policies and decisions highlighted in the author’s stories. </w:t>
      </w:r>
    </w:p>
    <w:p w:rsidR="00000000" w:rsidDel="00000000" w:rsidP="00000000" w:rsidRDefault="00000000" w:rsidRPr="00000000" w14:paraId="00000011">
      <w:pPr>
        <w:spacing w:line="276" w:lineRule="auto"/>
        <w:rPr/>
      </w:pPr>
      <w:r w:rsidDel="00000000" w:rsidR="00000000" w:rsidRPr="00000000">
        <w:rPr>
          <w:rtl w:val="0"/>
        </w:rPr>
      </w:r>
    </w:p>
    <w:p w:rsidR="00000000" w:rsidDel="00000000" w:rsidP="00000000" w:rsidRDefault="00000000" w:rsidRPr="00000000" w14:paraId="00000012">
      <w:pPr>
        <w:spacing w:line="276" w:lineRule="auto"/>
        <w:rPr/>
      </w:pPr>
      <w:r w:rsidDel="00000000" w:rsidR="00000000" w:rsidRPr="00000000">
        <w:rPr>
          <w:rtl w:val="0"/>
        </w:rPr>
        <w:t xml:space="preserve">Pinkett (a teacher) and Roberts (a principal) alternate as the primary author of each chapter. This means that Pinkett’s chapters often include things like lesson plans alongside general suggestions for the classroom. Robert’s chapters operate in the realm of policy by aiming for ways to create a healthy school culture. By offering an administrator’s perspective alongside a teacher’s perspective, the book paints a robust picture of how masculinity operates. Notably, because the author’s are British, the book is highly attuned to the British model of education. Regardless, any reader teaching in a Western context will find plenty of common ground. </w:t>
      </w:r>
    </w:p>
    <w:p w:rsidR="00000000" w:rsidDel="00000000" w:rsidP="00000000" w:rsidRDefault="00000000" w:rsidRPr="00000000" w14:paraId="00000013">
      <w:pPr>
        <w:spacing w:line="276" w:lineRule="auto"/>
        <w:rPr/>
      </w:pPr>
      <w:r w:rsidDel="00000000" w:rsidR="00000000" w:rsidRPr="00000000">
        <w:rPr>
          <w:rtl w:val="0"/>
        </w:rPr>
      </w:r>
    </w:p>
    <w:p w:rsidR="00000000" w:rsidDel="00000000" w:rsidP="00000000" w:rsidRDefault="00000000" w:rsidRPr="00000000" w14:paraId="00000014">
      <w:pPr>
        <w:spacing w:line="276" w:lineRule="auto"/>
        <w:rPr/>
      </w:pPr>
      <w:r w:rsidDel="00000000" w:rsidR="00000000" w:rsidRPr="00000000">
        <w:rPr>
          <w:rtl w:val="0"/>
        </w:rPr>
        <w:t xml:space="preserve">Because the term t</w:t>
      </w:r>
      <w:r w:rsidDel="00000000" w:rsidR="00000000" w:rsidRPr="00000000">
        <w:rPr>
          <w:i w:val="1"/>
          <w:rtl w:val="0"/>
        </w:rPr>
        <w:t xml:space="preserve">ender masculinity</w:t>
      </w:r>
      <w:r w:rsidDel="00000000" w:rsidR="00000000" w:rsidRPr="00000000">
        <w:rPr>
          <w:rtl w:val="0"/>
        </w:rPr>
        <w:t xml:space="preserve"> can feel mercurial and difficult to pindown, the book is most useful when harrowing stories are paired with salient research. For example, the chapters on pornography, sexism, and performativity standout because the stories are sobering while the research cited is unequivocal. What is illuminated is more than compelling, it is prescient and urgent. It is from these chapters that the educators wishing to show boys how to “be better” will benefit most. </w:t>
      </w:r>
    </w:p>
    <w:p w:rsidR="00000000" w:rsidDel="00000000" w:rsidP="00000000" w:rsidRDefault="00000000" w:rsidRPr="00000000" w14:paraId="00000015">
      <w:pPr>
        <w:spacing w:line="276" w:lineRule="auto"/>
        <w:rPr/>
      </w:pPr>
      <w:r w:rsidDel="00000000" w:rsidR="00000000" w:rsidRPr="00000000">
        <w:rPr>
          <w:rtl w:val="0"/>
        </w:rPr>
      </w:r>
    </w:p>
    <w:p w:rsidR="00000000" w:rsidDel="00000000" w:rsidP="00000000" w:rsidRDefault="00000000" w:rsidRPr="00000000" w14:paraId="00000016">
      <w:pPr>
        <w:spacing w:line="276" w:lineRule="auto"/>
        <w:rPr/>
      </w:pPr>
      <w:r w:rsidDel="00000000" w:rsidR="00000000" w:rsidRPr="00000000">
        <w:rPr>
          <w:rtl w:val="0"/>
        </w:rPr>
        <w:t xml:space="preserve">“Miss, I’d love to f**k you!” “Do you know how to deep-throat?” Pinkett begins the chapter on sexual violence by asking teachers to share instances wherein they have been the victims of sexual harrasment. Their answers are disturbing. Any reader doubting that non-tender masculinity is not an urgent issue is undercut immediately by the stories teachers tell. Pinkett makes clear that the boys performing harmful masculinity at a young age are more likely to engage in sexual violence at a later age. He goes on to suggest that it is conversation that has been proven most effective for ushering students into less harmful spaces.</w:t>
      </w:r>
    </w:p>
    <w:p w:rsidR="00000000" w:rsidDel="00000000" w:rsidP="00000000" w:rsidRDefault="00000000" w:rsidRPr="00000000" w14:paraId="00000017">
      <w:pPr>
        <w:spacing w:line="276" w:lineRule="auto"/>
        <w:rPr/>
      </w:pPr>
      <w:r w:rsidDel="00000000" w:rsidR="00000000" w:rsidRPr="00000000">
        <w:rPr>
          <w:rtl w:val="0"/>
        </w:rPr>
      </w:r>
    </w:p>
    <w:p w:rsidR="00000000" w:rsidDel="00000000" w:rsidP="00000000" w:rsidRDefault="00000000" w:rsidRPr="00000000" w14:paraId="00000018">
      <w:pPr>
        <w:spacing w:line="276" w:lineRule="auto"/>
        <w:rPr/>
      </w:pPr>
      <w:r w:rsidDel="00000000" w:rsidR="00000000" w:rsidRPr="00000000">
        <w:rPr>
          <w:rtl w:val="0"/>
        </w:rPr>
        <w:t xml:space="preserve">Because discussing pornography and rape culture with adolescents can be awkward and trying, the author’s straightforward suggestions for how to broach the topic will be welcomed by many readers. The lessons and ideas for entering conversation with students do not require advanced degrees in psychology or sociology. Any teacher, experienced or inexperienced in this space, will find the suggestions useful and applicable. </w:t>
      </w:r>
    </w:p>
    <w:p w:rsidR="00000000" w:rsidDel="00000000" w:rsidP="00000000" w:rsidRDefault="00000000" w:rsidRPr="00000000" w14:paraId="00000019">
      <w:pPr>
        <w:spacing w:line="276" w:lineRule="auto"/>
        <w:rPr/>
      </w:pPr>
      <w:r w:rsidDel="00000000" w:rsidR="00000000" w:rsidRPr="00000000">
        <w:rPr>
          <w:rtl w:val="0"/>
        </w:rPr>
      </w:r>
    </w:p>
    <w:p w:rsidR="00000000" w:rsidDel="00000000" w:rsidP="00000000" w:rsidRDefault="00000000" w:rsidRPr="00000000" w14:paraId="0000001A">
      <w:pPr>
        <w:spacing w:line="276" w:lineRule="auto"/>
        <w:rPr/>
      </w:pPr>
      <w:r w:rsidDel="00000000" w:rsidR="00000000" w:rsidRPr="00000000">
        <w:rPr>
          <w:rtl w:val="0"/>
        </w:rPr>
        <w:t xml:space="preserve">  </w:t>
      </w:r>
    </w:p>
    <w:p w:rsidR="00000000" w:rsidDel="00000000" w:rsidP="00000000" w:rsidRDefault="00000000" w:rsidRPr="00000000" w14:paraId="0000001B">
      <w:pPr>
        <w:spacing w:line="276" w:lineRule="auto"/>
        <w:rPr/>
      </w:pPr>
      <w:r w:rsidDel="00000000" w:rsidR="00000000" w:rsidRPr="00000000">
        <w:rPr>
          <w:rtl w:val="0"/>
        </w:rPr>
      </w:r>
    </w:p>
    <w:p w:rsidR="00000000" w:rsidDel="00000000" w:rsidP="00000000" w:rsidRDefault="00000000" w:rsidRPr="00000000" w14:paraId="0000001C">
      <w:pPr>
        <w:spacing w:line="276" w:lineRule="auto"/>
        <w:rPr/>
      </w:pPr>
      <w:r w:rsidDel="00000000" w:rsidR="00000000" w:rsidRPr="00000000">
        <w:rPr>
          <w:rtl w:val="0"/>
        </w:rPr>
      </w:r>
    </w:p>
    <w:p w:rsidR="00000000" w:rsidDel="00000000" w:rsidP="00000000" w:rsidRDefault="00000000" w:rsidRPr="00000000" w14:paraId="0000001D">
      <w:pPr>
        <w:spacing w:line="276" w:lineRule="auto"/>
        <w:rPr/>
      </w:pPr>
      <w:r w:rsidDel="00000000" w:rsidR="00000000" w:rsidRPr="00000000">
        <w:rPr>
          <w:rtl w:val="0"/>
        </w:rPr>
      </w:r>
    </w:p>
    <w:p w:rsidR="00000000" w:rsidDel="00000000" w:rsidP="00000000" w:rsidRDefault="00000000" w:rsidRPr="00000000" w14:paraId="0000001E">
      <w:pPr>
        <w:spacing w:line="276" w:lineRule="auto"/>
        <w:rPr/>
      </w:pPr>
      <w:r w:rsidDel="00000000" w:rsidR="00000000" w:rsidRPr="00000000">
        <w:rPr>
          <w:rtl w:val="0"/>
        </w:rPr>
      </w:r>
    </w:p>
    <w:p w:rsidR="00000000" w:rsidDel="00000000" w:rsidP="00000000" w:rsidRDefault="00000000" w:rsidRPr="00000000" w14:paraId="0000001F">
      <w:pPr>
        <w:spacing w:line="276" w:lineRule="auto"/>
        <w:rPr/>
      </w:pPr>
      <w:r w:rsidDel="00000000" w:rsidR="00000000" w:rsidRPr="00000000">
        <w:rPr>
          <w:rtl w:val="0"/>
        </w:rPr>
        <w:t xml:space="preserve">Notably, it is also in this section on sexism and pornography that Pinkett incorporates the importance of teaching gender as a social construct. While some readers might critique the generalizing regarding gender throughout the book, the brief section on “Educating Students About Gender” rightly acknowledges that, “One way that schools might achieve this [constructive responses to sexual harassment] is by encouraging boys and girls to discuss the socially-constructed gender expectations that govern people’s sexual attitudes and behaviours” (p. 114). Uplifting of nuance, even in this brief instance, substantiates claims that more robust conversations are necessary and possible. </w:t>
      </w:r>
      <w:r w:rsidDel="00000000" w:rsidR="00000000" w:rsidRPr="00000000">
        <w:rPr>
          <w:rtl w:val="0"/>
        </w:rPr>
      </w:r>
    </w:p>
    <w:p w:rsidR="00000000" w:rsidDel="00000000" w:rsidP="00000000" w:rsidRDefault="00000000" w:rsidRPr="00000000" w14:paraId="00000020">
      <w:pPr>
        <w:spacing w:line="276" w:lineRule="auto"/>
        <w:rPr/>
      </w:pPr>
      <w:r w:rsidDel="00000000" w:rsidR="00000000" w:rsidRPr="00000000">
        <w:rPr>
          <w:rtl w:val="0"/>
        </w:rPr>
      </w:r>
    </w:p>
    <w:p w:rsidR="00000000" w:rsidDel="00000000" w:rsidP="00000000" w:rsidRDefault="00000000" w:rsidRPr="00000000" w14:paraId="00000021">
      <w:pPr>
        <w:spacing w:line="276" w:lineRule="auto"/>
        <w:rPr/>
      </w:pPr>
      <w:r w:rsidDel="00000000" w:rsidR="00000000" w:rsidRPr="00000000">
        <w:rPr>
          <w:rtl w:val="0"/>
        </w:rPr>
        <w:t xml:space="preserve">It is how conversation and socialization interact that seemingly interests the authors most. That educators might perpetuate harmful masculinities because of ignorance is a truism that anchors the book. That educators can and should gain knowledge for how to disrupt the damage being done is a belief that Pinkett and Roberts address from multiple angles. Socialization--how it happens and how it can be augmented for the better--is of the utmost importance for Roberts and Pinkett. In Chapter 7, for example, Roberts makes clear a few key points:</w:t>
      </w:r>
    </w:p>
    <w:p w:rsidR="00000000" w:rsidDel="00000000" w:rsidP="00000000" w:rsidRDefault="00000000" w:rsidRPr="00000000" w14:paraId="00000022">
      <w:pPr>
        <w:spacing w:line="276" w:lineRule="auto"/>
        <w:rPr/>
      </w:pPr>
      <w:r w:rsidDel="00000000" w:rsidR="00000000" w:rsidRPr="00000000">
        <w:rPr>
          <w:rtl w:val="0"/>
        </w:rPr>
      </w:r>
    </w:p>
    <w:p w:rsidR="00000000" w:rsidDel="00000000" w:rsidP="00000000" w:rsidRDefault="00000000" w:rsidRPr="00000000" w14:paraId="00000023">
      <w:pPr>
        <w:ind w:left="720" w:firstLine="0"/>
        <w:rPr/>
      </w:pPr>
      <w:r w:rsidDel="00000000" w:rsidR="00000000" w:rsidRPr="00000000">
        <w:rPr>
          <w:rtl w:val="0"/>
        </w:rPr>
        <w:t xml:space="preserve">The socialization of children to accept stereotypical gender norms begins early, with the use of toys, costumes, and discussions of feelings. It would be reassuring to think then that when it comes to the serious business of early years education – such as learning how to read – young children are exposed to texts that avoid such stereotypes. Sadly, this is far from the case (p. 121).</w:t>
      </w:r>
    </w:p>
    <w:p w:rsidR="00000000" w:rsidDel="00000000" w:rsidP="00000000" w:rsidRDefault="00000000" w:rsidRPr="00000000" w14:paraId="00000024">
      <w:pPr>
        <w:ind w:left="0" w:firstLine="0"/>
        <w:rPr/>
      </w:pPr>
      <w:r w:rsidDel="00000000" w:rsidR="00000000" w:rsidRPr="00000000">
        <w:rPr>
          <w:rtl w:val="0"/>
        </w:rPr>
      </w:r>
    </w:p>
    <w:p w:rsidR="00000000" w:rsidDel="00000000" w:rsidP="00000000" w:rsidRDefault="00000000" w:rsidRPr="00000000" w14:paraId="00000025">
      <w:pPr>
        <w:ind w:left="0" w:firstLine="0"/>
        <w:rPr/>
      </w:pPr>
      <w:r w:rsidDel="00000000" w:rsidR="00000000" w:rsidRPr="00000000">
        <w:rPr>
          <w:rtl w:val="0"/>
        </w:rPr>
        <w:t xml:space="preserve">Here, the authors are venturing beyond lesson plans and school policies. They intend to underscore that the problems observed in classrooms are the result of systemic problems. And these systemic problems are often the result of decisions made by powerful institutions. For instance, Roberts points out that Macmillan, a massive publishing corporation has even admitted to exploiting gender stereotypes to sell textbooks (p. 122). </w:t>
      </w:r>
    </w:p>
    <w:p w:rsidR="00000000" w:rsidDel="00000000" w:rsidP="00000000" w:rsidRDefault="00000000" w:rsidRPr="00000000" w14:paraId="00000026">
      <w:pPr>
        <w:ind w:left="0" w:firstLine="0"/>
        <w:rPr/>
      </w:pPr>
      <w:r w:rsidDel="00000000" w:rsidR="00000000" w:rsidRPr="00000000">
        <w:rPr>
          <w:rtl w:val="0"/>
        </w:rPr>
      </w:r>
    </w:p>
    <w:p w:rsidR="00000000" w:rsidDel="00000000" w:rsidP="00000000" w:rsidRDefault="00000000" w:rsidRPr="00000000" w14:paraId="00000027">
      <w:pPr>
        <w:spacing w:line="276" w:lineRule="auto"/>
        <w:rPr/>
      </w:pPr>
      <w:r w:rsidDel="00000000" w:rsidR="00000000" w:rsidRPr="00000000">
        <w:rPr>
          <w:rtl w:val="0"/>
        </w:rPr>
        <w:t xml:space="preserve">On the heels of these revelations, as if to predict a skeptical reader’s opposition, Roberts turns to the tiresome refrain in education: Given all these gender problems, “do boys need male teachers? Would single sex classrooms make a difference” (p. 126). Through anecdote the authors make clear that such questions are emblematic of unproblematized conceptualizations of masculinity, are actually sexist and reify toxic cultures, and most importantly, fail to realize that effective teaching can occur regardless of gender dynamics. Here and throughout the book, the advice and suggestions feel manageable and are meant to be straightforward: be thoughtful about seating plans; maintain high expectations for all students; effective teachers should be made available to all levels.</w:t>
      </w:r>
    </w:p>
    <w:p w:rsidR="00000000" w:rsidDel="00000000" w:rsidP="00000000" w:rsidRDefault="00000000" w:rsidRPr="00000000" w14:paraId="00000028">
      <w:pPr>
        <w:spacing w:line="276" w:lineRule="auto"/>
        <w:rPr/>
      </w:pPr>
      <w:r w:rsidDel="00000000" w:rsidR="00000000" w:rsidRPr="00000000">
        <w:rPr>
          <w:rtl w:val="0"/>
        </w:rPr>
      </w:r>
    </w:p>
    <w:p w:rsidR="00000000" w:rsidDel="00000000" w:rsidP="00000000" w:rsidRDefault="00000000" w:rsidRPr="00000000" w14:paraId="00000029">
      <w:pPr>
        <w:spacing w:line="276" w:lineRule="auto"/>
        <w:rPr/>
      </w:pPr>
      <w:r w:rsidDel="00000000" w:rsidR="00000000" w:rsidRPr="00000000">
        <w:rPr>
          <w:rtl w:val="0"/>
        </w:rPr>
        <w:t xml:space="preserve">Yet, while the book effectively addresses the topics the author’s have chosen, some readers might notice that a number of other topics are unaddressed. For example, the authors do not address the following:</w:t>
      </w:r>
    </w:p>
    <w:p w:rsidR="00000000" w:rsidDel="00000000" w:rsidP="00000000" w:rsidRDefault="00000000" w:rsidRPr="00000000" w14:paraId="0000002A">
      <w:pPr>
        <w:spacing w:line="276" w:lineRule="auto"/>
        <w:rPr/>
      </w:pPr>
      <w:r w:rsidDel="00000000" w:rsidR="00000000" w:rsidRPr="00000000">
        <w:rPr>
          <w:rtl w:val="0"/>
        </w:rPr>
      </w:r>
    </w:p>
    <w:p w:rsidR="00000000" w:rsidDel="00000000" w:rsidP="00000000" w:rsidRDefault="00000000" w:rsidRPr="00000000" w14:paraId="0000002B">
      <w:pPr>
        <w:numPr>
          <w:ilvl w:val="0"/>
          <w:numId w:val="1"/>
        </w:numPr>
        <w:spacing w:line="276" w:lineRule="auto"/>
        <w:ind w:left="1440" w:hanging="360"/>
        <w:rPr>
          <w:u w:val="none"/>
        </w:rPr>
      </w:pPr>
      <w:r w:rsidDel="00000000" w:rsidR="00000000" w:rsidRPr="00000000">
        <w:rPr>
          <w:rtl w:val="0"/>
        </w:rPr>
        <w:t xml:space="preserve">how schools could or should better nurture trans students</w:t>
      </w:r>
    </w:p>
    <w:p w:rsidR="00000000" w:rsidDel="00000000" w:rsidP="00000000" w:rsidRDefault="00000000" w:rsidRPr="00000000" w14:paraId="0000002C">
      <w:pPr>
        <w:numPr>
          <w:ilvl w:val="0"/>
          <w:numId w:val="1"/>
        </w:numPr>
        <w:spacing w:line="276" w:lineRule="auto"/>
        <w:ind w:left="1440" w:hanging="360"/>
        <w:rPr>
          <w:u w:val="none"/>
        </w:rPr>
      </w:pPr>
      <w:r w:rsidDel="00000000" w:rsidR="00000000" w:rsidRPr="00000000">
        <w:rPr>
          <w:rtl w:val="0"/>
        </w:rPr>
        <w:t xml:space="preserve">the difficulties of teaching sexuality in less-progressive spaces</w:t>
      </w:r>
    </w:p>
    <w:p w:rsidR="00000000" w:rsidDel="00000000" w:rsidP="00000000" w:rsidRDefault="00000000" w:rsidRPr="00000000" w14:paraId="0000002D">
      <w:pPr>
        <w:numPr>
          <w:ilvl w:val="0"/>
          <w:numId w:val="1"/>
        </w:numPr>
        <w:spacing w:line="276" w:lineRule="auto"/>
        <w:ind w:left="1440" w:hanging="360"/>
        <w:rPr>
          <w:u w:val="none"/>
        </w:rPr>
      </w:pPr>
      <w:r w:rsidDel="00000000" w:rsidR="00000000" w:rsidRPr="00000000">
        <w:rPr>
          <w:rtl w:val="0"/>
        </w:rPr>
        <w:t xml:space="preserve">how sexuality is learned outside the classroom</w:t>
      </w:r>
    </w:p>
    <w:p w:rsidR="00000000" w:rsidDel="00000000" w:rsidP="00000000" w:rsidRDefault="00000000" w:rsidRPr="00000000" w14:paraId="0000002E">
      <w:pPr>
        <w:numPr>
          <w:ilvl w:val="0"/>
          <w:numId w:val="1"/>
        </w:numPr>
        <w:spacing w:line="276" w:lineRule="auto"/>
        <w:ind w:left="1440" w:hanging="360"/>
        <w:rPr>
          <w:u w:val="none"/>
        </w:rPr>
      </w:pPr>
      <w:r w:rsidDel="00000000" w:rsidR="00000000" w:rsidRPr="00000000">
        <w:rPr>
          <w:rtl w:val="0"/>
        </w:rPr>
        <w:t xml:space="preserve">alternative understandings of human development and sexuality</w:t>
      </w:r>
    </w:p>
    <w:p w:rsidR="00000000" w:rsidDel="00000000" w:rsidP="00000000" w:rsidRDefault="00000000" w:rsidRPr="00000000" w14:paraId="0000002F">
      <w:pPr>
        <w:numPr>
          <w:ilvl w:val="0"/>
          <w:numId w:val="1"/>
        </w:numPr>
        <w:spacing w:line="276" w:lineRule="auto"/>
        <w:ind w:left="1440" w:hanging="360"/>
        <w:rPr>
          <w:u w:val="none"/>
        </w:rPr>
      </w:pPr>
      <w:r w:rsidDel="00000000" w:rsidR="00000000" w:rsidRPr="00000000">
        <w:rPr>
          <w:rtl w:val="0"/>
        </w:rPr>
        <w:t xml:space="preserve">how intersectionality might generate additional subjectivies</w:t>
      </w:r>
    </w:p>
    <w:p w:rsidR="00000000" w:rsidDel="00000000" w:rsidP="00000000" w:rsidRDefault="00000000" w:rsidRPr="00000000" w14:paraId="00000030">
      <w:pPr>
        <w:numPr>
          <w:ilvl w:val="0"/>
          <w:numId w:val="1"/>
        </w:numPr>
        <w:spacing w:line="276" w:lineRule="auto"/>
        <w:ind w:left="1440" w:hanging="360"/>
        <w:rPr>
          <w:u w:val="none"/>
        </w:rPr>
      </w:pPr>
      <w:r w:rsidDel="00000000" w:rsidR="00000000" w:rsidRPr="00000000">
        <w:rPr>
          <w:rtl w:val="0"/>
        </w:rPr>
        <w:t xml:space="preserve">multiculturalism and gender; especially as masculinity pertains to immigrant populations</w:t>
      </w:r>
    </w:p>
    <w:p w:rsidR="00000000" w:rsidDel="00000000" w:rsidP="00000000" w:rsidRDefault="00000000" w:rsidRPr="00000000" w14:paraId="00000031">
      <w:pPr>
        <w:numPr>
          <w:ilvl w:val="0"/>
          <w:numId w:val="1"/>
        </w:numPr>
        <w:spacing w:line="276" w:lineRule="auto"/>
        <w:ind w:left="1440" w:hanging="360"/>
        <w:rPr>
          <w:u w:val="none"/>
        </w:rPr>
      </w:pPr>
      <w:r w:rsidDel="00000000" w:rsidR="00000000" w:rsidRPr="00000000">
        <w:rPr>
          <w:rtl w:val="0"/>
        </w:rPr>
        <w:t xml:space="preserve">socioeconomics and privilege in the context of gender dynamics</w:t>
      </w:r>
    </w:p>
    <w:p w:rsidR="00000000" w:rsidDel="00000000" w:rsidP="00000000" w:rsidRDefault="00000000" w:rsidRPr="00000000" w14:paraId="00000032">
      <w:pPr>
        <w:spacing w:line="276" w:lineRule="auto"/>
        <w:rPr/>
      </w:pPr>
      <w:r w:rsidDel="00000000" w:rsidR="00000000" w:rsidRPr="00000000">
        <w:rPr>
          <w:rtl w:val="0"/>
        </w:rPr>
      </w:r>
    </w:p>
    <w:p w:rsidR="00000000" w:rsidDel="00000000" w:rsidP="00000000" w:rsidRDefault="00000000" w:rsidRPr="00000000" w14:paraId="00000033">
      <w:pPr>
        <w:spacing w:line="276" w:lineRule="auto"/>
        <w:rPr/>
      </w:pPr>
      <w:r w:rsidDel="00000000" w:rsidR="00000000" w:rsidRPr="00000000">
        <w:rPr>
          <w:rtl w:val="0"/>
        </w:rPr>
        <w:t xml:space="preserve">Overall, because power and privilege are of great concern in conversations on sexuality, the text would benefit from more comprehensive unpacking of the political nature of gender and sexuality. The authors make clear, however, that their focus is how best to reach the working-class, male pupil. The book is for the encumbered student lacking the language to talk themselves down from the ledge. In this way, Pinkett and Roberts stay true to their mission </w:t>
      </w:r>
      <w:r w:rsidDel="00000000" w:rsidR="00000000" w:rsidRPr="00000000">
        <w:rPr>
          <w:rtl w:val="0"/>
        </w:rPr>
        <w:t xml:space="preserve">even while bypassing opportunities for more nuanced acknowledgement of the breadth of how sexuality and gender operate in complex</w:t>
      </w:r>
      <w:r w:rsidDel="00000000" w:rsidR="00000000" w:rsidRPr="00000000">
        <w:rPr>
          <w:rtl w:val="0"/>
        </w:rPr>
        <w:t xml:space="preserve"> paradigms. </w:t>
      </w:r>
    </w:p>
    <w:p w:rsidR="00000000" w:rsidDel="00000000" w:rsidP="00000000" w:rsidRDefault="00000000" w:rsidRPr="00000000" w14:paraId="00000034">
      <w:pPr>
        <w:spacing w:line="276" w:lineRule="auto"/>
        <w:rPr/>
      </w:pPr>
      <w:r w:rsidDel="00000000" w:rsidR="00000000" w:rsidRPr="00000000">
        <w:rPr>
          <w:rtl w:val="0"/>
        </w:rPr>
      </w:r>
    </w:p>
    <w:p w:rsidR="00000000" w:rsidDel="00000000" w:rsidP="00000000" w:rsidRDefault="00000000" w:rsidRPr="00000000" w14:paraId="00000035">
      <w:pPr>
        <w:spacing w:line="276" w:lineRule="auto"/>
        <w:rPr/>
      </w:pPr>
      <w:r w:rsidDel="00000000" w:rsidR="00000000" w:rsidRPr="00000000">
        <w:rPr>
          <w:rtl w:val="0"/>
        </w:rPr>
        <w:t xml:space="preserve">In the end, if one agrees that educators have a significant role to play in liberating boys that are trapped by non-tender masculinity, then Pinkett’s and Robert’s book is a useful starting point. Students of the teacher that implements their demythologized, research-based advice will benefit most. And benefiting students in this context might just translate into saving lives. </w:t>
      </w:r>
    </w:p>
    <w:p w:rsidR="00000000" w:rsidDel="00000000" w:rsidP="00000000" w:rsidRDefault="00000000" w:rsidRPr="00000000" w14:paraId="00000036">
      <w:pPr>
        <w:spacing w:line="276" w:lineRule="auto"/>
        <w:rPr/>
      </w:pPr>
      <w:r w:rsidDel="00000000" w:rsidR="00000000" w:rsidRPr="00000000">
        <w:rPr>
          <w:rtl w:val="0"/>
        </w:rPr>
      </w:r>
    </w:p>
    <w:p w:rsidR="00000000" w:rsidDel="00000000" w:rsidP="00000000" w:rsidRDefault="00000000" w:rsidRPr="00000000" w14:paraId="00000037">
      <w:pPr>
        <w:spacing w:line="276" w:lineRule="auto"/>
        <w:rPr/>
      </w:pPr>
      <w:r w:rsidDel="00000000" w:rsidR="00000000" w:rsidRPr="00000000">
        <w:rPr>
          <w:rtl w:val="0"/>
        </w:rPr>
        <w:t xml:space="preserve">References:</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Orenstein, P. (2019, December). The miseducation of the American boy. </w:t>
      </w:r>
      <w:r w:rsidDel="00000000" w:rsidR="00000000" w:rsidRPr="00000000">
        <w:rPr>
          <w:i w:val="1"/>
          <w:rtl w:val="0"/>
        </w:rPr>
        <w:t xml:space="preserve">The Atlantic</w:t>
      </w:r>
      <w:r w:rsidDel="00000000" w:rsidR="00000000" w:rsidRPr="00000000">
        <w:rPr>
          <w:rtl w:val="0"/>
        </w:rPr>
        <w:t xml:space="preserve">. Retrieved from: </w:t>
      </w:r>
      <w:hyperlink r:id="rId6">
        <w:r w:rsidDel="00000000" w:rsidR="00000000" w:rsidRPr="00000000">
          <w:rPr>
            <w:color w:val="0563c1"/>
            <w:u w:val="single"/>
            <w:rtl w:val="0"/>
          </w:rPr>
          <w:t xml:space="preserve">https://www.theatlantic.com/magazine/archive/2020/01/the-miseducation-of-the-american-boy/603046/</w:t>
        </w:r>
      </w:hyperlink>
      <w:r w:rsidDel="00000000" w:rsidR="00000000" w:rsidRPr="00000000">
        <w:rPr>
          <w:rtl w:val="0"/>
        </w:rPr>
        <w:t xml:space="preserve">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theatlantic.com/magazine/archive/2020/01/the-miseducation-of-the-american-boy/6030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