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tabs>
          <w:tab w:val="right" w:pos="9360"/>
        </w:tabs>
        <w:spacing w:after="0"/>
        <w:rPr>
          <w:rFonts w:ascii="Garamond" w:cs="Garamond" w:hAnsi="Garamond" w:eastAsia="Garamond"/>
          <w:i w:val="1"/>
          <w:iCs w:val="1"/>
          <w:outline w:val="0"/>
          <w:color w:val="c94909"/>
          <w:sz w:val="24"/>
          <w:szCs w:val="24"/>
          <w:u w:color="c94909"/>
          <w14:textFill>
            <w14:solidFill>
              <w14:srgbClr w14:val="C94909"/>
            </w14:solidFill>
          </w14:textFill>
        </w:rPr>
      </w:pPr>
      <w:r>
        <w:rPr>
          <w:rFonts w:ascii="Garamond" w:hAnsi="Garamond"/>
          <w:sz w:val="24"/>
          <w:szCs w:val="24"/>
          <w:shd w:val="clear" w:color="auto" w:fill="00ffff"/>
          <w:rtl w:val="0"/>
          <w:lang w:val="en-US"/>
        </w:rPr>
        <w:t>EdRev will insert date</w:t>
      </w:r>
      <w:r>
        <w:rPr>
          <w:rFonts w:ascii="Garamond" w:cs="Garamond" w:hAnsi="Garamond" w:eastAsia="Garamond"/>
          <w:sz w:val="24"/>
          <w:szCs w:val="24"/>
          <w:rtl w:val="0"/>
        </w:rPr>
        <w:tab/>
        <w:t>ISSN 1094-5296</w:t>
      </w:r>
    </w:p>
    <w:p>
      <w:pPr>
        <w:pStyle w:val="Body"/>
        <w:spacing w:after="0"/>
        <w:rPr>
          <w:rFonts w:ascii="Garamond" w:cs="Garamond" w:hAnsi="Garamond" w:eastAsia="Garamond"/>
          <w:sz w:val="24"/>
          <w:szCs w:val="24"/>
        </w:rPr>
      </w:pPr>
    </w:p>
    <w:tbl>
      <w:tblPr>
        <w:tblW w:w="93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360"/>
      </w:tblGrid>
      <w:tr>
        <w:tblPrEx>
          <w:shd w:val="clear" w:color="auto" w:fill="d0ddef"/>
        </w:tblPrEx>
        <w:trPr>
          <w:trHeight w:val="1638" w:hRule="atLeast"/>
        </w:trPr>
        <w:tc>
          <w:tcPr>
            <w:tcW w:type="dxa" w:w="9360"/>
            <w:tcBorders>
              <w:top w:val="nil"/>
              <w:left w:val="nil"/>
              <w:bottom w:val="nil"/>
              <w:right w:val="nil"/>
            </w:tcBorders>
            <w:shd w:val="clear" w:color="auto" w:fill="ffe645"/>
            <w:tcMar>
              <w:top w:type="dxa" w:w="80"/>
              <w:left w:type="dxa" w:w="80"/>
              <w:bottom w:type="dxa" w:w="80"/>
              <w:right w:type="dxa" w:w="80"/>
            </w:tcMar>
            <w:vAlign w:val="top"/>
          </w:tcPr>
          <w:p>
            <w:pPr>
              <w:pStyle w:val="Body"/>
              <w:spacing w:after="0" w:line="240" w:lineRule="auto"/>
              <w:rPr>
                <w:rFonts w:ascii="Garamond" w:cs="Garamond" w:hAnsi="Garamond" w:eastAsia="Garamond"/>
                <w:spacing w:val="6"/>
                <w:sz w:val="24"/>
                <w:szCs w:val="24"/>
                <w:shd w:val="nil" w:color="auto" w:fill="auto"/>
                <w:lang w:val="en-US"/>
              </w:rPr>
            </w:pPr>
          </w:p>
          <w:p>
            <w:pPr>
              <w:pStyle w:val="Body"/>
              <w:suppressAutoHyphens w:val="0"/>
              <w:spacing w:after="0"/>
              <w:rPr>
                <w:rFonts w:ascii="Garamond" w:cs="Garamond" w:hAnsi="Garamond" w:eastAsia="Garamond"/>
                <w:sz w:val="24"/>
                <w:szCs w:val="24"/>
              </w:rPr>
            </w:pPr>
            <w:r>
              <w:rPr>
                <w:rFonts w:ascii="Garamond" w:hAnsi="Garamond"/>
                <w:sz w:val="24"/>
                <w:szCs w:val="24"/>
                <w:rtl w:val="0"/>
              </w:rPr>
              <w:t xml:space="preserve">Richardson, J. W. (2020). </w:t>
            </w:r>
            <w:r>
              <w:rPr>
                <w:rFonts w:ascii="Garamond" w:hAnsi="Garamond"/>
                <w:i w:val="1"/>
                <w:iCs w:val="1"/>
                <w:sz w:val="24"/>
                <w:szCs w:val="24"/>
                <w:rtl w:val="0"/>
                <w:lang w:val="en-US"/>
              </w:rPr>
              <w:t>Bringing innovative practices to your school: Lessons from international schools</w:t>
            </w:r>
            <w:r>
              <w:rPr>
                <w:rFonts w:ascii="Garamond" w:hAnsi="Garamond"/>
                <w:sz w:val="24"/>
                <w:szCs w:val="24"/>
                <w:rtl w:val="0"/>
                <w:lang w:val="en-US"/>
              </w:rPr>
              <w:t>. Routledge.</w:t>
            </w:r>
          </w:p>
          <w:p>
            <w:pPr>
              <w:pStyle w:val="Body"/>
              <w:spacing w:after="0" w:line="240" w:lineRule="auto"/>
              <w:rPr>
                <w:rFonts w:ascii="Garamond" w:cs="Garamond" w:hAnsi="Garamond" w:eastAsia="Garamond"/>
                <w:sz w:val="24"/>
                <w:szCs w:val="24"/>
                <w:shd w:val="nil" w:color="auto" w:fill="auto"/>
                <w:lang w:val="en-US"/>
              </w:rPr>
            </w:pPr>
          </w:p>
          <w:p>
            <w:pPr>
              <w:pStyle w:val="Body"/>
              <w:bidi w:val="0"/>
              <w:spacing w:after="0" w:line="240" w:lineRule="auto"/>
              <w:ind w:left="0" w:right="0" w:firstLine="0"/>
              <w:jc w:val="left"/>
              <w:rPr>
                <w:rFonts w:ascii="Garamond" w:cs="Garamond" w:hAnsi="Garamond" w:eastAsia="Garamond"/>
                <w:sz w:val="24"/>
                <w:szCs w:val="24"/>
                <w:shd w:val="nil" w:color="auto" w:fill="auto"/>
                <w:rtl w:val="0"/>
              </w:rPr>
            </w:pPr>
            <w:r>
              <w:rPr>
                <w:rFonts w:ascii="Garamond" w:hAnsi="Garamond"/>
                <w:sz w:val="24"/>
                <w:szCs w:val="24"/>
                <w:shd w:val="nil" w:color="auto" w:fill="auto"/>
                <w:rtl w:val="0"/>
                <w:lang w:val="en-US"/>
              </w:rPr>
              <w:t xml:space="preserve">Pp. </w:t>
            </w:r>
            <w:r>
              <w:rPr>
                <w:rFonts w:ascii="Garamond" w:hAnsi="Garamond"/>
                <w:sz w:val="24"/>
                <w:szCs w:val="24"/>
                <w:shd w:val="clear" w:color="auto" w:fill="00ffff"/>
                <w:rtl w:val="0"/>
                <w:lang w:val="en-US"/>
              </w:rPr>
              <w:t>220</w:t>
            </w:r>
            <w:r>
              <w:rPr>
                <w:rFonts w:ascii="Garamond" w:hAnsi="Garamond"/>
                <w:sz w:val="24"/>
                <w:szCs w:val="24"/>
                <w:shd w:val="nil" w:color="auto" w:fill="auto"/>
                <w:rtl w:val="0"/>
                <w:lang w:val="en-US"/>
              </w:rPr>
              <w:t xml:space="preserve">                                                                                 ISBN:</w:t>
            </w:r>
            <w:r>
              <w:rPr>
                <w:rFonts w:ascii="Garamond" w:hAnsi="Garamond"/>
                <w:sz w:val="24"/>
                <w:szCs w:val="24"/>
                <w:shd w:val="nil" w:color="auto" w:fill="auto"/>
                <w:rtl w:val="0"/>
                <w:lang w:val="en-US"/>
              </w:rPr>
              <w:t xml:space="preserve"> </w:t>
            </w:r>
            <w:r>
              <w:rPr>
                <w:rFonts w:ascii="Garamond" w:hAnsi="Garamond"/>
                <w:sz w:val="24"/>
                <w:szCs w:val="24"/>
                <w:rtl w:val="0"/>
              </w:rPr>
              <w:t>978-0-367-18590-9</w:t>
            </w:r>
          </w:p>
          <w:p>
            <w:pPr>
              <w:pStyle w:val="Body"/>
              <w:bidi w:val="0"/>
              <w:spacing w:after="0" w:line="240" w:lineRule="auto"/>
              <w:ind w:left="0" w:right="0" w:firstLine="0"/>
              <w:jc w:val="left"/>
              <w:rPr>
                <w:rtl w:val="0"/>
              </w:rPr>
            </w:pPr>
            <w:r>
              <w:rPr>
                <w:rFonts w:ascii="Garamond" w:hAnsi="Garamond"/>
                <w:sz w:val="24"/>
                <w:szCs w:val="24"/>
                <w:shd w:val="nil" w:color="auto" w:fill="auto"/>
                <w:rtl w:val="0"/>
                <w:lang w:val="en-US"/>
              </w:rPr>
              <w:t xml:space="preserve">               </w:t>
            </w:r>
          </w:p>
        </w:tc>
      </w:tr>
    </w:tbl>
    <w:p>
      <w:pPr>
        <w:pStyle w:val="Body"/>
        <w:widowControl w:val="0"/>
        <w:spacing w:after="0" w:line="240" w:lineRule="auto"/>
        <w:ind w:left="108" w:hanging="108"/>
        <w:sectPr>
          <w:headerReference w:type="default" r:id="rId4"/>
          <w:headerReference w:type="even" r:id="rId5"/>
          <w:headerReference w:type="first" r:id="rId6"/>
          <w:footerReference w:type="default" r:id="rId7"/>
          <w:footerReference w:type="even" r:id="rId8"/>
          <w:footerReference w:type="first" r:id="rId9"/>
          <w:pgSz w:w="12240" w:h="15840" w:orient="portrait"/>
          <w:pgMar w:top="1440" w:right="1440" w:bottom="1440" w:left="1440" w:header="720" w:footer="720"/>
          <w:titlePg w:val="1"/>
          <w:bidi w:val="0"/>
        </w:sectPr>
      </w:pPr>
    </w:p>
    <w:p>
      <w:pPr>
        <w:pStyle w:val="Body"/>
        <w:spacing w:line="240" w:lineRule="auto"/>
        <w:rPr>
          <w:rFonts w:ascii="Garamond" w:cs="Garamond" w:hAnsi="Garamond" w:eastAsia="Garamond"/>
          <w:b w:val="1"/>
          <w:bCs w:val="1"/>
          <w:sz w:val="24"/>
          <w:szCs w:val="24"/>
        </w:rPr>
      </w:pPr>
    </w:p>
    <w:p>
      <w:pPr>
        <w:pStyle w:val="Body"/>
        <w:rPr>
          <w:rFonts w:ascii="Garamond" w:cs="Garamond" w:hAnsi="Garamond" w:eastAsia="Garamond"/>
        </w:rPr>
        <w:sectPr>
          <w:headerReference w:type="default" r:id="rId10"/>
          <w:headerReference w:type="even" r:id="rId11"/>
          <w:headerReference w:type="first" r:id="rId12"/>
          <w:footerReference w:type="default" r:id="rId13"/>
          <w:footerReference w:type="even" r:id="rId14"/>
          <w:footerReference w:type="first" r:id="rId15"/>
          <w:pgSz w:w="12240" w:h="15840" w:orient="portrait"/>
          <w:pgMar w:top="1440" w:right="1350" w:bottom="1440" w:left="1440" w:header="720" w:footer="720"/>
          <w:titlePg w:val="1"/>
          <w:bidi w:val="0"/>
        </w:sectPr>
      </w:pPr>
      <w:r>
        <w:rPr>
          <w:rFonts w:ascii="Garamond" w:cs="Garamond" w:hAnsi="Garamond" w:eastAsia="Garamond"/>
        </w:rPr>
      </w:r>
    </w:p>
    <w:p>
      <w:pPr>
        <w:pStyle w:val="Body"/>
        <w:spacing w:line="240" w:lineRule="auto"/>
        <w:rPr>
          <w:rFonts w:ascii="Garamond" w:cs="Garamond" w:hAnsi="Garamond" w:eastAsia="Garamond"/>
          <w:b w:val="1"/>
          <w:bCs w:val="1"/>
          <w:sz w:val="24"/>
          <w:szCs w:val="24"/>
        </w:rPr>
      </w:pPr>
      <w:r>
        <w:rPr>
          <w:rFonts w:ascii="Garamond" w:hAnsi="Garamond"/>
          <w:b w:val="1"/>
          <w:bCs w:val="1"/>
          <w:sz w:val="24"/>
          <w:szCs w:val="24"/>
          <w:rtl w:val="0"/>
          <w:lang w:val="en-US"/>
        </w:rPr>
        <w:t xml:space="preserve">Reviewed by </w:t>
      </w:r>
      <w:r>
        <w:rPr>
          <w:rFonts w:ascii="Garamond" w:hAnsi="Garamond"/>
          <w:b w:val="1"/>
          <w:bCs w:val="1"/>
          <w:sz w:val="24"/>
          <w:szCs w:val="24"/>
          <w:shd w:val="clear" w:color="auto" w:fill="00ffff"/>
          <w:rtl w:val="0"/>
          <w:lang w:val="en-US"/>
        </w:rPr>
        <w:t>Eric Jabal</w:t>
      </w:r>
    </w:p>
    <w:p>
      <w:pPr>
        <w:pStyle w:val="Body"/>
        <w:suppressAutoHyphens w:val="0"/>
        <w:spacing w:after="0"/>
        <w:rPr>
          <w:rFonts w:ascii="Garamond" w:cs="Garamond" w:hAnsi="Garamond" w:eastAsia="Garamond"/>
          <w:b w:val="1"/>
          <w:bCs w:val="1"/>
          <w:sz w:val="24"/>
          <w:szCs w:val="24"/>
        </w:rPr>
      </w:pPr>
      <w:r>
        <w:rPr>
          <w:rFonts w:ascii="Garamond" w:hAnsi="Garamond"/>
          <w:b w:val="1"/>
          <w:bCs w:val="1"/>
          <w:sz w:val="24"/>
          <w:szCs w:val="24"/>
          <w:rtl w:val="0"/>
        </w:rPr>
        <w:t>Coll</w:t>
      </w:r>
      <w:r>
        <w:rPr>
          <w:rFonts w:ascii="Garamond" w:hAnsi="Garamond" w:hint="default"/>
          <w:b w:val="1"/>
          <w:bCs w:val="1"/>
          <w:sz w:val="24"/>
          <w:szCs w:val="24"/>
          <w:rtl w:val="0"/>
          <w:lang w:val="it-IT"/>
        </w:rPr>
        <w:t>è</w:t>
      </w:r>
      <w:r>
        <w:rPr>
          <w:rFonts w:ascii="Garamond" w:hAnsi="Garamond"/>
          <w:b w:val="1"/>
          <w:bCs w:val="1"/>
          <w:sz w:val="24"/>
          <w:szCs w:val="24"/>
          <w:rtl w:val="0"/>
          <w:lang w:val="fr-FR"/>
        </w:rPr>
        <w:t>ge de l</w:t>
      </w:r>
      <w:r>
        <w:rPr>
          <w:rFonts w:ascii="Garamond" w:hAnsi="Garamond" w:hint="default"/>
          <w:b w:val="1"/>
          <w:bCs w:val="1"/>
          <w:sz w:val="24"/>
          <w:szCs w:val="24"/>
          <w:rtl w:val="1"/>
        </w:rPr>
        <w:t>’</w:t>
      </w:r>
      <w:r>
        <w:rPr>
          <w:rFonts w:ascii="Garamond" w:hAnsi="Garamond"/>
          <w:b w:val="1"/>
          <w:bCs w:val="1"/>
          <w:sz w:val="24"/>
          <w:szCs w:val="24"/>
          <w:rtl w:val="0"/>
          <w:lang w:val="fr-FR"/>
        </w:rPr>
        <w:t>Ouest de l'</w:t>
      </w:r>
      <w:r>
        <w:rPr>
          <w:rFonts w:ascii="Garamond" w:hAnsi="Garamond" w:hint="default"/>
          <w:b w:val="1"/>
          <w:bCs w:val="1"/>
          <w:sz w:val="24"/>
          <w:szCs w:val="24"/>
          <w:rtl w:val="0"/>
        </w:rPr>
        <w:t>Î</w:t>
      </w:r>
      <w:r>
        <w:rPr>
          <w:rFonts w:ascii="Garamond" w:hAnsi="Garamond"/>
          <w:b w:val="1"/>
          <w:bCs w:val="1"/>
          <w:sz w:val="24"/>
          <w:szCs w:val="24"/>
          <w:rtl w:val="0"/>
          <w:lang w:val="en-US"/>
        </w:rPr>
        <w:t>le / West Island College</w:t>
      </w:r>
    </w:p>
    <w:p>
      <w:pPr>
        <w:pStyle w:val="Body"/>
        <w:spacing w:after="0" w:line="240" w:lineRule="auto"/>
        <w:rPr>
          <w:rFonts w:ascii="Garamond" w:cs="Garamond" w:hAnsi="Garamond" w:eastAsia="Garamond"/>
          <w:b w:val="1"/>
          <w:bCs w:val="1"/>
          <w:sz w:val="24"/>
          <w:szCs w:val="24"/>
        </w:rPr>
      </w:pPr>
      <w:r>
        <w:rPr>
          <w:rFonts w:ascii="Garamond" w:hAnsi="Garamond"/>
          <w:b w:val="1"/>
          <w:bCs w:val="1"/>
          <w:sz w:val="24"/>
          <w:szCs w:val="24"/>
          <w:shd w:val="clear" w:color="auto" w:fill="00ffff"/>
          <w:rtl w:val="0"/>
          <w:lang w:val="en-US"/>
        </w:rPr>
        <w:t>Canada</w:t>
      </w:r>
    </w:p>
    <w:p>
      <w:pPr>
        <w:pStyle w:val="Body"/>
        <w:spacing w:after="0" w:line="240" w:lineRule="auto"/>
        <w:rPr>
          <w:rFonts w:ascii="Garamond" w:cs="Garamond" w:hAnsi="Garamond" w:eastAsia="Garamond"/>
          <w:b w:val="1"/>
          <w:bCs w:val="1"/>
          <w:sz w:val="24"/>
          <w:szCs w:val="24"/>
        </w:rPr>
        <w:sectPr>
          <w:type w:val="continuous"/>
          <w:pgSz w:w="12240" w:h="15840" w:orient="portrait"/>
          <w:pgMar w:top="1440" w:right="1350" w:bottom="1440" w:left="1440" w:header="720" w:footer="720"/>
          <w:bidi w:val="0"/>
        </w:sectPr>
      </w:pPr>
      <w:r>
        <w:rPr>
          <w:rFonts w:ascii="Garamond" w:cs="Garamond" w:hAnsi="Garamond" w:eastAsia="Garamond"/>
          <w:b w:val="1"/>
          <w:bCs w:val="1"/>
          <w:sz w:val="24"/>
          <w:szCs w:val="24"/>
        </w:rPr>
      </w: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 xml:space="preserve">In this Routledge Eye on Education book, Jayson W. Richardson brings together field-tested contributions from international school practitioners to highlight </w:t>
      </w:r>
      <w:r>
        <w:rPr>
          <w:rFonts w:ascii="Garamond" w:hAnsi="Garamond" w:hint="default"/>
          <w:sz w:val="24"/>
          <w:szCs w:val="24"/>
          <w:rtl w:val="1"/>
          <w:lang w:val="ar-SA" w:bidi="ar-SA"/>
        </w:rPr>
        <w:t>“</w:t>
      </w:r>
      <w:r>
        <w:rPr>
          <w:rFonts w:ascii="Garamond" w:hAnsi="Garamond"/>
          <w:sz w:val="24"/>
          <w:szCs w:val="24"/>
          <w:rtl w:val="0"/>
          <w:lang w:val="en-US"/>
        </w:rPr>
        <w:t>cutting-edge educational innovations happening globally</w:t>
      </w:r>
      <w:r>
        <w:rPr>
          <w:rFonts w:ascii="Garamond" w:hAnsi="Garamond" w:hint="default"/>
          <w:sz w:val="24"/>
          <w:szCs w:val="24"/>
          <w:rtl w:val="0"/>
        </w:rPr>
        <w:t xml:space="preserve">” </w:t>
      </w:r>
      <w:r>
        <w:rPr>
          <w:rFonts w:ascii="Garamond" w:hAnsi="Garamond"/>
          <w:sz w:val="24"/>
          <w:szCs w:val="24"/>
          <w:rtl w:val="0"/>
          <w:lang w:val="en-US"/>
        </w:rPr>
        <w:t xml:space="preserve">and link these to teaching and leadership practices that </w:t>
      </w:r>
      <w:r>
        <w:rPr>
          <w:rFonts w:ascii="Garamond" w:hAnsi="Garamond" w:hint="default"/>
          <w:sz w:val="24"/>
          <w:szCs w:val="24"/>
          <w:rtl w:val="1"/>
          <w:lang w:val="ar-SA" w:bidi="ar-SA"/>
        </w:rPr>
        <w:t>“</w:t>
      </w:r>
      <w:r>
        <w:rPr>
          <w:rFonts w:ascii="Garamond" w:hAnsi="Garamond"/>
          <w:sz w:val="24"/>
          <w:szCs w:val="24"/>
          <w:rtl w:val="0"/>
          <w:lang w:val="en-US"/>
        </w:rPr>
        <w:t>should and can occur in schools across the world</w:t>
      </w:r>
      <w:r>
        <w:rPr>
          <w:rFonts w:ascii="Garamond" w:hAnsi="Garamond" w:hint="default"/>
          <w:sz w:val="24"/>
          <w:szCs w:val="24"/>
          <w:rtl w:val="0"/>
        </w:rPr>
        <w:t xml:space="preserve">” </w:t>
      </w:r>
      <w:r>
        <w:rPr>
          <w:rFonts w:ascii="Garamond" w:hAnsi="Garamond"/>
          <w:sz w:val="24"/>
          <w:szCs w:val="24"/>
          <w:rtl w:val="0"/>
          <w:lang w:val="en-US"/>
        </w:rPr>
        <w:t>(p. xiii). The 32 authors provide a neat window into creative approaches to K-12 international school learning, teaching, and innovation. The lessons, strategies, and techniques offer vivid snapshots of innovative practices with the potential to be adapted in local school or district contexts.</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Sensitive to the interplay of global, cultur</w:t>
      </w:r>
      <w:r>
        <w:drawing xmlns:a="http://schemas.openxmlformats.org/drawingml/2006/main">
          <wp:anchor distT="38100" distB="38100" distL="38100" distR="38100" simplePos="0" relativeHeight="251660288" behindDoc="0" locked="0" layoutInCell="1" allowOverlap="1">
            <wp:simplePos x="0" y="0"/>
            <wp:positionH relativeFrom="page">
              <wp:posOffset>4223543</wp:posOffset>
            </wp:positionH>
            <wp:positionV relativeFrom="page">
              <wp:posOffset>2212933</wp:posOffset>
            </wp:positionV>
            <wp:extent cx="2687025" cy="4493849"/>
            <wp:effectExtent l="0" t="0" r="0" b="0"/>
            <wp:wrapThrough wrapText="bothSides" distL="38100" distR="38100">
              <wp:wrapPolygon edited="1">
                <wp:start x="-6" y="-24"/>
                <wp:lineTo x="-13" y="-23"/>
                <wp:lineTo x="-19" y="-21"/>
                <wp:lineTo x="-25" y="-19"/>
                <wp:lineTo x="-29" y="-16"/>
                <wp:lineTo x="-33" y="-13"/>
                <wp:lineTo x="-36" y="-9"/>
                <wp:lineTo x="-38" y="-5"/>
                <wp:lineTo x="-38" y="-1"/>
                <wp:lineTo x="-38" y="21601"/>
                <wp:lineTo x="-38" y="21605"/>
                <wp:lineTo x="-35" y="21610"/>
                <wp:lineTo x="-32" y="21614"/>
                <wp:lineTo x="-27" y="21617"/>
                <wp:lineTo x="-21" y="21620"/>
                <wp:lineTo x="-15" y="21622"/>
                <wp:lineTo x="-8" y="21623"/>
                <wp:lineTo x="0" y="21624"/>
                <wp:lineTo x="21599" y="21624"/>
                <wp:lineTo x="21606" y="21623"/>
                <wp:lineTo x="21613" y="21622"/>
                <wp:lineTo x="21620" y="21620"/>
                <wp:lineTo x="21626" y="21617"/>
                <wp:lineTo x="21630" y="21614"/>
                <wp:lineTo x="21634" y="21610"/>
                <wp:lineTo x="21636" y="21605"/>
                <wp:lineTo x="21637" y="21601"/>
                <wp:lineTo x="21637" y="-1"/>
                <wp:lineTo x="21636" y="-6"/>
                <wp:lineTo x="21634" y="-10"/>
                <wp:lineTo x="21630" y="-14"/>
                <wp:lineTo x="21626" y="-17"/>
                <wp:lineTo x="21620" y="-20"/>
                <wp:lineTo x="21613" y="-22"/>
                <wp:lineTo x="21606" y="-23"/>
                <wp:lineTo x="21599" y="-24"/>
                <wp:lineTo x="0" y="-24"/>
                <wp:lineTo x="-6" y="-24"/>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9780367185909.jpeg"/>
                    <pic:cNvPicPr>
                      <a:picLocks noChangeAspect="1"/>
                    </pic:cNvPicPr>
                  </pic:nvPicPr>
                  <pic:blipFill>
                    <a:blip r:embed="rId16">
                      <a:extLst/>
                    </a:blip>
                    <a:srcRect l="9780" t="0" r="18552" b="20095"/>
                    <a:stretch>
                      <a:fillRect/>
                    </a:stretch>
                  </pic:blipFill>
                  <pic:spPr>
                    <a:xfrm>
                      <a:off x="0" y="0"/>
                      <a:ext cx="2687025" cy="4493849"/>
                    </a:xfrm>
                    <a:prstGeom prst="rect">
                      <a:avLst/>
                    </a:prstGeom>
                    <a:ln w="9525" cap="flat">
                      <a:solidFill>
                        <a:srgbClr val="000000"/>
                      </a:solidFill>
                      <a:prstDash val="solid"/>
                      <a:round/>
                    </a:ln>
                    <a:effectLst/>
                  </pic:spPr>
                </pic:pic>
              </a:graphicData>
            </a:graphic>
          </wp:anchor>
        </w:drawing>
      </w:r>
      <w:r>
        <w:rPr>
          <w:rFonts w:ascii="Garamond" w:hAnsi="Garamond"/>
          <w:sz w:val="24"/>
          <w:szCs w:val="24"/>
          <w:rtl w:val="0"/>
          <w:lang w:val="en-US"/>
        </w:rPr>
        <w:t>al, and technological forces</w:t>
      </w:r>
      <w:r>
        <w:rPr>
          <w:rFonts w:ascii="Garamond" w:hAnsi="Garamond" w:hint="default"/>
          <w:sz w:val="24"/>
          <w:szCs w:val="24"/>
          <w:rtl w:val="0"/>
          <w:lang w:val="en-US"/>
        </w:rPr>
        <w:t>—</w:t>
      </w:r>
      <w:r>
        <w:rPr>
          <w:rFonts w:ascii="Garamond" w:hAnsi="Garamond"/>
          <w:sz w:val="24"/>
          <w:szCs w:val="24"/>
          <w:rtl w:val="0"/>
          <w:lang w:val="en-US"/>
        </w:rPr>
        <w:t>as Chair of the Department of Educational Leadership and Policy Studies in the Morgridge College of Education at the University of Denver, Director of the Center for the Advanced Study in Technology Leadership, and Editor-in-Chief of the Journal of Educational Administration</w:t>
      </w:r>
      <w:r>
        <w:rPr>
          <w:rFonts w:ascii="Garamond" w:hAnsi="Garamond" w:hint="default"/>
          <w:sz w:val="24"/>
          <w:szCs w:val="24"/>
          <w:rtl w:val="0"/>
          <w:lang w:val="en-US"/>
        </w:rPr>
        <w:t>—</w:t>
      </w:r>
      <w:r>
        <w:rPr>
          <w:rFonts w:ascii="Garamond" w:hAnsi="Garamond"/>
          <w:sz w:val="24"/>
          <w:szCs w:val="24"/>
          <w:rtl w:val="0"/>
          <w:lang w:val="en-US"/>
        </w:rPr>
        <w:t>Dr. Richardson is well-placed to focus his comparative, international, and development education lenses on this international schools arena</w:t>
      </w:r>
      <w:r>
        <w:rPr>
          <w:rFonts w:ascii="Garamond" w:hAnsi="Garamond"/>
          <w:sz w:val="24"/>
          <w:szCs w:val="24"/>
          <w:rtl w:val="0"/>
          <w:lang w:val="en-US"/>
        </w:rPr>
        <w:t>, which is so often excluded</w:t>
      </w:r>
      <w:r>
        <w:rPr>
          <w:rFonts w:ascii="Garamond" w:hAnsi="Garamond"/>
          <w:sz w:val="24"/>
          <w:szCs w:val="24"/>
          <w:rtl w:val="0"/>
          <w:lang w:val="en-US"/>
        </w:rPr>
        <w:t xml:space="preserve"> from the mainstream discussion of education innovation. Given their complex communities and diverse, unique student bodies, how are innovative K-12 international schools preparing learners to be future-ready for a post-pandemic and ever-expanding digital world?</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The edited collection is organised into six broad sections that explore: (a) student agency; (b) equity; (c) curriculum, teaching, and student learning; (d) management of schools; (e) teacher leadership; and (f) technology and school leadership. It features an introduction; biographies of contributors whose professional proving grounds span Chile, China, Colombia, Gambia, India, Japan, Singapore, South Korea, Tanzania, Thailand, Uganda, United States, and Vietnam; and 17 chapters and 5 vignettes. The user-friendly and intuitive index of main topics and key and related concepts (with valuable cross-referencing) make it easy to navigate the different parts of the book.</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 xml:space="preserve">Each section has its own introduction that usefully links the different contributions to the topic at hand. The fairly short chapters and vignettes, which further contextualise the array of innovative practices, are clearly written, readily digestible, and </w:t>
      </w:r>
      <w:r>
        <w:rPr>
          <w:rFonts w:ascii="Garamond" w:hAnsi="Garamond"/>
          <w:sz w:val="24"/>
          <w:szCs w:val="24"/>
          <w:rtl w:val="0"/>
          <w:lang w:val="en-US"/>
        </w:rPr>
        <w:t>suitably</w:t>
      </w:r>
      <w:r>
        <w:rPr>
          <w:rFonts w:ascii="Garamond" w:hAnsi="Garamond"/>
          <w:sz w:val="24"/>
          <w:szCs w:val="24"/>
          <w:rtl w:val="0"/>
          <w:lang w:val="en-US"/>
        </w:rPr>
        <w:t xml:space="preserve"> referenced in external resources. They walk readers through both process (ideation, introduction, and implementation) and outcome or impact of the innovative practices in international schools. In most cases, this also includes brief critical reflections on the merits and limitations of a given innovation, as well as some considerations for potential next steps. To help the text</w:t>
      </w:r>
      <w:r>
        <w:rPr>
          <w:rFonts w:ascii="Garamond" w:hAnsi="Garamond" w:hint="default"/>
          <w:sz w:val="24"/>
          <w:szCs w:val="24"/>
          <w:rtl w:val="1"/>
        </w:rPr>
        <w:t>’</w:t>
      </w:r>
      <w:r>
        <w:rPr>
          <w:rFonts w:ascii="Garamond" w:hAnsi="Garamond"/>
          <w:sz w:val="24"/>
          <w:szCs w:val="24"/>
          <w:rtl w:val="0"/>
          <w:lang w:val="en-US"/>
        </w:rPr>
        <w:t xml:space="preserve">s readability, a one-paragraph summary starts and a succinct </w:t>
      </w:r>
      <w:r>
        <w:rPr>
          <w:rFonts w:ascii="Garamond" w:hAnsi="Garamond" w:hint="default"/>
          <w:sz w:val="24"/>
          <w:szCs w:val="24"/>
          <w:rtl w:val="1"/>
        </w:rPr>
        <w:t>‘</w:t>
      </w:r>
      <w:r>
        <w:rPr>
          <w:rFonts w:ascii="Garamond" w:hAnsi="Garamond"/>
          <w:sz w:val="24"/>
          <w:szCs w:val="24"/>
          <w:rtl w:val="0"/>
          <w:lang w:val="en-US"/>
        </w:rPr>
        <w:t>Innovative Leadership Practices</w:t>
      </w:r>
      <w:r>
        <w:rPr>
          <w:rFonts w:ascii="Garamond" w:hAnsi="Garamond" w:hint="default"/>
          <w:sz w:val="24"/>
          <w:szCs w:val="24"/>
          <w:rtl w:val="1"/>
        </w:rPr>
        <w:t xml:space="preserve">’ </w:t>
      </w:r>
      <w:r>
        <w:rPr>
          <w:rFonts w:ascii="Garamond" w:hAnsi="Garamond"/>
          <w:sz w:val="24"/>
          <w:szCs w:val="24"/>
          <w:rtl w:val="0"/>
          <w:lang w:val="en-US"/>
        </w:rPr>
        <w:t>conclusion ends each chapter and vignette. Through teasing out the leadership-innovatory takeaways that could be pursued in other (non-international) school contexts, readers are encouraged to take a global perspective and imagine applying it to their local context.</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The varied educational settings add colour and reach to the thematic action case studies, with at least six interrelated keys to enact innovative change coming through:</w:t>
      </w:r>
    </w:p>
    <w:p>
      <w:pPr>
        <w:pStyle w:val="Body"/>
        <w:numPr>
          <w:ilvl w:val="0"/>
          <w:numId w:val="2"/>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clarify and align an outcome-focused vision for social, emotional, academic learning supported by constructivist pedagogy and responsive school structures;</w:t>
      </w:r>
    </w:p>
    <w:p>
      <w:pPr>
        <w:pStyle w:val="Body"/>
        <w:numPr>
          <w:ilvl w:val="0"/>
          <w:numId w:val="2"/>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cultivate the conditions for inquiry, reflection, and action through learning design that is flexible (expanding upon the principles of Universal Design for Learning);</w:t>
      </w:r>
    </w:p>
    <w:p>
      <w:pPr>
        <w:pStyle w:val="Body"/>
        <w:numPr>
          <w:ilvl w:val="0"/>
          <w:numId w:val="3"/>
        </w:numPr>
        <w:suppressAutoHyphens w:val="0"/>
        <w:bidi w:val="0"/>
        <w:spacing w:after="0"/>
        <w:ind w:right="0"/>
        <w:jc w:val="left"/>
        <w:rPr>
          <w:rFonts w:ascii="Garamond" w:hAnsi="Garamond"/>
          <w:sz w:val="24"/>
          <w:szCs w:val="24"/>
          <w:rtl w:val="0"/>
          <w:lang w:val="it-IT"/>
        </w:rPr>
      </w:pPr>
      <w:r>
        <w:rPr>
          <w:rFonts w:ascii="Garamond" w:hAnsi="Garamond"/>
          <w:sz w:val="24"/>
          <w:szCs w:val="24"/>
          <w:rtl w:val="0"/>
          <w:lang w:val="it-IT"/>
        </w:rPr>
        <w:t xml:space="preserve">promote a </w:t>
      </w:r>
      <w:r>
        <w:rPr>
          <w:rFonts w:ascii="Garamond" w:hAnsi="Garamond" w:hint="default"/>
          <w:sz w:val="24"/>
          <w:szCs w:val="24"/>
          <w:rtl w:val="1"/>
          <w:lang w:val="ar-SA" w:bidi="ar-SA"/>
        </w:rPr>
        <w:t>“</w:t>
      </w:r>
      <w:r>
        <w:rPr>
          <w:rFonts w:ascii="Garamond" w:hAnsi="Garamond"/>
          <w:sz w:val="24"/>
          <w:szCs w:val="24"/>
          <w:rtl w:val="0"/>
          <w:lang w:val="en-US"/>
        </w:rPr>
        <w:t>professional learning journey</w:t>
      </w:r>
      <w:r>
        <w:rPr>
          <w:rFonts w:ascii="Garamond" w:hAnsi="Garamond" w:hint="default"/>
          <w:sz w:val="24"/>
          <w:szCs w:val="24"/>
          <w:rtl w:val="0"/>
        </w:rPr>
        <w:t xml:space="preserve">” </w:t>
      </w:r>
      <w:r>
        <w:rPr>
          <w:rFonts w:ascii="Garamond" w:hAnsi="Garamond"/>
          <w:sz w:val="24"/>
          <w:szCs w:val="24"/>
          <w:rtl w:val="0"/>
          <w:lang w:val="en-US"/>
        </w:rPr>
        <w:t>perspective as an arc of growth, maturity, and renewal (because learning and progress are not always linear!);</w:t>
      </w:r>
    </w:p>
    <w:p>
      <w:pPr>
        <w:pStyle w:val="Body"/>
        <w:numPr>
          <w:ilvl w:val="0"/>
          <w:numId w:val="3"/>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harness collective (i.e., teacher and leader) efficacy to strengthen existing systems-level approaches for stakeholder buy-in (</w:t>
      </w:r>
      <w:r>
        <w:rPr>
          <w:rFonts w:ascii="Garamond" w:hAnsi="Garamond" w:hint="default"/>
          <w:sz w:val="24"/>
          <w:szCs w:val="24"/>
          <w:rtl w:val="1"/>
          <w:lang w:val="ar-SA" w:bidi="ar-SA"/>
        </w:rPr>
        <w:t>“</w:t>
      </w:r>
      <w:r>
        <w:rPr>
          <w:rFonts w:ascii="Garamond" w:hAnsi="Garamond"/>
          <w:sz w:val="24"/>
          <w:szCs w:val="24"/>
          <w:rtl w:val="0"/>
          <w:lang w:val="en-US"/>
        </w:rPr>
        <w:t>authorship is ownership</w:t>
      </w:r>
      <w:r>
        <w:rPr>
          <w:rFonts w:ascii="Garamond" w:hAnsi="Garamond" w:hint="default"/>
          <w:sz w:val="24"/>
          <w:szCs w:val="24"/>
          <w:rtl w:val="0"/>
        </w:rPr>
        <w:t>”</w:t>
      </w:r>
      <w:r>
        <w:rPr>
          <w:rFonts w:ascii="Garamond" w:hAnsi="Garamond"/>
          <w:sz w:val="24"/>
          <w:szCs w:val="24"/>
          <w:rtl w:val="0"/>
          <w:lang w:val="it-IT"/>
        </w:rPr>
        <w:t>);</w:t>
      </w:r>
    </w:p>
    <w:p>
      <w:pPr>
        <w:pStyle w:val="Body"/>
        <w:numPr>
          <w:ilvl w:val="0"/>
          <w:numId w:val="3"/>
        </w:numPr>
        <w:suppressAutoHyphens w:val="0"/>
        <w:bidi w:val="0"/>
        <w:spacing w:after="0"/>
        <w:ind w:right="0"/>
        <w:jc w:val="left"/>
        <w:rPr>
          <w:rFonts w:ascii="Garamond" w:hAnsi="Garamond"/>
          <w:sz w:val="24"/>
          <w:szCs w:val="24"/>
          <w:rtl w:val="0"/>
          <w:lang w:val="fr-FR"/>
        </w:rPr>
      </w:pPr>
      <w:r>
        <w:rPr>
          <w:rFonts w:ascii="Garamond" w:hAnsi="Garamond"/>
          <w:sz w:val="24"/>
          <w:szCs w:val="24"/>
          <w:rtl w:val="0"/>
          <w:lang w:val="fr-FR"/>
        </w:rPr>
        <w:t>patience</w:t>
      </w:r>
      <w:r>
        <w:rPr>
          <w:rFonts w:ascii="Garamond" w:hAnsi="Garamond" w:hint="default"/>
          <w:sz w:val="24"/>
          <w:szCs w:val="24"/>
          <w:rtl w:val="0"/>
          <w:lang w:val="en-US"/>
        </w:rPr>
        <w:t>—</w:t>
      </w:r>
      <w:r>
        <w:rPr>
          <w:rFonts w:ascii="Garamond" w:hAnsi="Garamond"/>
          <w:sz w:val="24"/>
          <w:szCs w:val="24"/>
          <w:rtl w:val="0"/>
          <w:lang w:val="en-US"/>
        </w:rPr>
        <w:t>creating a sustainable culture of innovation takes time; and</w:t>
      </w:r>
    </w:p>
    <w:p>
      <w:pPr>
        <w:pStyle w:val="Body"/>
        <w:numPr>
          <w:ilvl w:val="0"/>
          <w:numId w:val="3"/>
        </w:numPr>
        <w:suppressAutoHyphens w:val="0"/>
        <w:bidi w:val="0"/>
        <w:spacing w:after="0"/>
        <w:ind w:right="0"/>
        <w:jc w:val="left"/>
        <w:rPr>
          <w:rFonts w:ascii="Garamond" w:hAnsi="Garamond" w:hint="default"/>
          <w:sz w:val="24"/>
          <w:szCs w:val="24"/>
          <w:rtl w:val="0"/>
          <w:lang w:val="ar-SA" w:bidi="ar-SA"/>
        </w:rPr>
      </w:pPr>
      <w:r>
        <w:rPr>
          <w:rFonts w:ascii="Garamond" w:hAnsi="Garamond" w:hint="default"/>
          <w:sz w:val="24"/>
          <w:szCs w:val="24"/>
          <w:rtl w:val="1"/>
          <w:lang w:val="ar-SA" w:bidi="ar-SA"/>
        </w:rPr>
        <w:t>“</w:t>
      </w:r>
      <w:r>
        <w:rPr>
          <w:rFonts w:ascii="Garamond" w:hAnsi="Garamond"/>
          <w:sz w:val="24"/>
          <w:szCs w:val="24"/>
          <w:rtl w:val="0"/>
          <w:lang w:val="en-US"/>
        </w:rPr>
        <w:t>We cannot expect student agency without teacher agency</w:t>
      </w:r>
      <w:r>
        <w:rPr>
          <w:rFonts w:ascii="Garamond" w:hAnsi="Garamond" w:hint="default"/>
          <w:sz w:val="24"/>
          <w:szCs w:val="24"/>
          <w:rtl w:val="0"/>
        </w:rPr>
        <w:t xml:space="preserve">” </w:t>
      </w:r>
      <w:r>
        <w:rPr>
          <w:rFonts w:ascii="Garamond" w:hAnsi="Garamond"/>
          <w:sz w:val="24"/>
          <w:szCs w:val="24"/>
          <w:rtl w:val="0"/>
        </w:rPr>
        <w:t>(p. 152).</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A culture of collaboration, characterised by a will and confidence to experiment to promote inquiry and to enhance student engagement and professional learning, infuses the different international school ecosystems that are, for example:</w:t>
      </w:r>
    </w:p>
    <w:p>
      <w:pPr>
        <w:pStyle w:val="Body"/>
        <w:numPr>
          <w:ilvl w:val="0"/>
          <w:numId w:val="5"/>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rethinking student schedules (more self-directed time);</w:t>
      </w:r>
    </w:p>
    <w:p>
      <w:pPr>
        <w:pStyle w:val="Body"/>
        <w:numPr>
          <w:ilvl w:val="0"/>
          <w:numId w:val="5"/>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co-constructing course content or structures (increase opportunity for student choice, shift from content-driven to skill-based curriculum and assessment);</w:t>
      </w:r>
    </w:p>
    <w:p>
      <w:pPr>
        <w:pStyle w:val="Body"/>
        <w:numPr>
          <w:ilvl w:val="0"/>
          <w:numId w:val="5"/>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redesigning physical (e.g., classroom, playground) and digital spaces; and</w:t>
      </w:r>
    </w:p>
    <w:p>
      <w:pPr>
        <w:pStyle w:val="Body"/>
        <w:numPr>
          <w:ilvl w:val="0"/>
          <w:numId w:val="5"/>
        </w:numPr>
        <w:suppressAutoHyphens w:val="0"/>
        <w:bidi w:val="0"/>
        <w:spacing w:after="0"/>
        <w:ind w:right="0"/>
        <w:jc w:val="left"/>
        <w:rPr>
          <w:rFonts w:ascii="Garamond" w:hAnsi="Garamond"/>
          <w:sz w:val="24"/>
          <w:szCs w:val="24"/>
          <w:rtl w:val="0"/>
          <w:lang w:val="en-US"/>
        </w:rPr>
      </w:pPr>
      <w:r>
        <w:rPr>
          <w:rFonts w:ascii="Garamond" w:hAnsi="Garamond"/>
          <w:sz w:val="24"/>
          <w:szCs w:val="24"/>
          <w:rtl w:val="0"/>
          <w:lang w:val="en-US"/>
        </w:rPr>
        <w:t>developing more equitable and effective staffing practices (e.g., instructional coaching, team norms)</w:t>
      </w:r>
      <w:r>
        <w:rPr>
          <w:rFonts w:ascii="Garamond" w:hAnsi="Garamond"/>
          <w:sz w:val="24"/>
          <w:szCs w:val="24"/>
          <w:rtl w:val="0"/>
          <w:lang w:val="en-US"/>
        </w:rPr>
        <w:t>.</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 xml:space="preserve">Demonstrating constructivist principles in action, the varied snapshots highlight how and why taking the time to get input, actively involving stakeholders in the construction of understanding, and sharing of perspectives, is so important. As </w:t>
      </w:r>
      <w:r>
        <w:rPr>
          <w:rFonts w:ascii="Garamond" w:hAnsi="Garamond"/>
          <w:sz w:val="24"/>
          <w:szCs w:val="24"/>
          <w:rtl w:val="0"/>
          <w:lang w:val="en-US"/>
        </w:rPr>
        <w:t>one contributor</w:t>
      </w:r>
      <w:r>
        <w:rPr>
          <w:rFonts w:ascii="Garamond" w:hAnsi="Garamond"/>
          <w:sz w:val="24"/>
          <w:szCs w:val="24"/>
          <w:rtl w:val="0"/>
          <w:lang w:val="fr-FR"/>
        </w:rPr>
        <w:t xml:space="preserve"> notes, </w:t>
      </w:r>
      <w:r>
        <w:rPr>
          <w:rFonts w:ascii="Garamond" w:hAnsi="Garamond" w:hint="default"/>
          <w:sz w:val="24"/>
          <w:szCs w:val="24"/>
          <w:rtl w:val="1"/>
          <w:lang w:val="ar-SA" w:bidi="ar-SA"/>
        </w:rPr>
        <w:t>“</w:t>
      </w:r>
      <w:r>
        <w:rPr>
          <w:rFonts w:ascii="Garamond" w:hAnsi="Garamond"/>
          <w:sz w:val="24"/>
          <w:szCs w:val="24"/>
          <w:rtl w:val="0"/>
          <w:lang w:val="en-US"/>
        </w:rPr>
        <w:t>Often in school we jump to brainstorming solutions to problems without understanding if our solutions are addressing a cause or an effect. If our solutions address effects, our ideas don</w:t>
      </w:r>
      <w:r>
        <w:rPr>
          <w:rFonts w:ascii="Garamond" w:hAnsi="Garamond" w:hint="default"/>
          <w:sz w:val="24"/>
          <w:szCs w:val="24"/>
          <w:rtl w:val="1"/>
        </w:rPr>
        <w:t>’</w:t>
      </w:r>
      <w:r>
        <w:rPr>
          <w:rFonts w:ascii="Garamond" w:hAnsi="Garamond"/>
          <w:sz w:val="24"/>
          <w:szCs w:val="24"/>
          <w:rtl w:val="0"/>
          <w:lang w:val="en-US"/>
        </w:rPr>
        <w:t>t work, or they only work for a short period, leading to future frustration</w:t>
      </w:r>
      <w:r>
        <w:rPr>
          <w:rFonts w:ascii="Garamond" w:hAnsi="Garamond" w:hint="default"/>
          <w:sz w:val="24"/>
          <w:szCs w:val="24"/>
          <w:rtl w:val="0"/>
        </w:rPr>
        <w:t xml:space="preserve">” </w:t>
      </w:r>
      <w:r>
        <w:rPr>
          <w:rFonts w:ascii="Garamond" w:hAnsi="Garamond"/>
          <w:sz w:val="24"/>
          <w:szCs w:val="24"/>
          <w:rtl w:val="0"/>
          <w:lang w:val="en-US"/>
        </w:rPr>
        <w:t xml:space="preserve">(p. 140). As a set, the encouraging examples show schools that are intentionally reculturing and iteratively restructuring to make students </w:t>
      </w:r>
      <w:r>
        <w:rPr>
          <w:rFonts w:ascii="Garamond" w:hAnsi="Garamond" w:hint="default"/>
          <w:sz w:val="24"/>
          <w:szCs w:val="24"/>
          <w:rtl w:val="1"/>
          <w:lang w:val="ar-SA" w:bidi="ar-SA"/>
        </w:rPr>
        <w:t>“</w:t>
      </w:r>
      <w:r>
        <w:rPr>
          <w:rFonts w:ascii="Garamond" w:hAnsi="Garamond"/>
          <w:sz w:val="24"/>
          <w:szCs w:val="24"/>
          <w:rtl w:val="0"/>
          <w:lang w:val="en-US"/>
        </w:rPr>
        <w:t>subjects</w:t>
      </w:r>
      <w:r>
        <w:rPr>
          <w:rFonts w:ascii="Garamond" w:hAnsi="Garamond" w:hint="default"/>
          <w:sz w:val="24"/>
          <w:szCs w:val="24"/>
          <w:rtl w:val="0"/>
        </w:rPr>
        <w:t xml:space="preserve">” </w:t>
      </w:r>
      <w:r>
        <w:rPr>
          <w:rFonts w:ascii="Garamond" w:hAnsi="Garamond"/>
          <w:sz w:val="24"/>
          <w:szCs w:val="24"/>
          <w:rtl w:val="0"/>
          <w:lang w:val="en-US"/>
        </w:rPr>
        <w:t xml:space="preserve">rather than </w:t>
      </w:r>
      <w:r>
        <w:rPr>
          <w:rFonts w:ascii="Garamond" w:hAnsi="Garamond" w:hint="default"/>
          <w:sz w:val="24"/>
          <w:szCs w:val="24"/>
          <w:rtl w:val="1"/>
          <w:lang w:val="ar-SA" w:bidi="ar-SA"/>
        </w:rPr>
        <w:t>“</w:t>
      </w:r>
      <w:r>
        <w:rPr>
          <w:rFonts w:ascii="Garamond" w:hAnsi="Garamond"/>
          <w:sz w:val="24"/>
          <w:szCs w:val="24"/>
          <w:rtl w:val="0"/>
          <w:lang w:val="en-US"/>
        </w:rPr>
        <w:t>objects</w:t>
      </w:r>
      <w:r>
        <w:rPr>
          <w:rFonts w:ascii="Garamond" w:hAnsi="Garamond" w:hint="default"/>
          <w:sz w:val="24"/>
          <w:szCs w:val="24"/>
          <w:rtl w:val="0"/>
        </w:rPr>
        <w:t xml:space="preserve">” </w:t>
      </w:r>
      <w:r>
        <w:rPr>
          <w:rFonts w:ascii="Garamond" w:hAnsi="Garamond"/>
          <w:sz w:val="24"/>
          <w:szCs w:val="24"/>
          <w:rtl w:val="0"/>
          <w:lang w:val="en-US"/>
        </w:rPr>
        <w:t xml:space="preserve">of instruction (Freire, 2000), that is, part of a caring community of learners, all striving to author and connect their classroom learning to the curriculum of real life. </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As a former international school teacher, middle leader, and principal</w:t>
      </w:r>
      <w:r>
        <w:rPr>
          <w:rFonts w:ascii="Garamond" w:hAnsi="Garamond" w:hint="default"/>
          <w:sz w:val="24"/>
          <w:szCs w:val="24"/>
          <w:rtl w:val="0"/>
          <w:lang w:val="en-US"/>
        </w:rPr>
        <w:t>—</w:t>
      </w:r>
      <w:r>
        <w:rPr>
          <w:rFonts w:ascii="Garamond" w:hAnsi="Garamond"/>
          <w:sz w:val="24"/>
          <w:szCs w:val="24"/>
          <w:rtl w:val="0"/>
          <w:lang w:val="en-US"/>
        </w:rPr>
        <w:t>my path did cross some of the authors during my time as a Hong Kong-based volunteer evaluator and regional accreditation officer for the Council of International Schools</w:t>
      </w:r>
      <w:r>
        <w:rPr>
          <w:rFonts w:ascii="Garamond" w:hAnsi="Garamond" w:hint="default"/>
          <w:sz w:val="24"/>
          <w:szCs w:val="24"/>
          <w:rtl w:val="0"/>
          <w:lang w:val="en-US"/>
        </w:rPr>
        <w:t>—</w:t>
      </w:r>
      <w:r>
        <w:rPr>
          <w:rFonts w:ascii="Garamond" w:hAnsi="Garamond"/>
          <w:sz w:val="24"/>
          <w:szCs w:val="24"/>
          <w:rtl w:val="0"/>
          <w:lang w:val="en-US"/>
        </w:rPr>
        <w:t xml:space="preserve">I found the portraits instructive, refreshing, and real. Though we know that the uncritical transfer of practice is rarely successful, aspirational educational leaders arguably share the same goal: for children to achieve academic success, but not at the expense of their holistic and character development; and to be ethical, passionate, and engaged in </w:t>
      </w:r>
      <w:r>
        <w:rPr>
          <w:rFonts w:ascii="Garamond" w:hAnsi="Garamond" w:hint="default"/>
          <w:sz w:val="24"/>
          <w:szCs w:val="24"/>
          <w:rtl w:val="1"/>
          <w:lang w:val="ar-SA" w:bidi="ar-SA"/>
        </w:rPr>
        <w:t>“</w:t>
      </w:r>
      <w:r>
        <w:rPr>
          <w:rFonts w:ascii="Garamond" w:hAnsi="Garamond"/>
          <w:sz w:val="24"/>
          <w:szCs w:val="24"/>
          <w:rtl w:val="0"/>
          <w:lang w:val="en-US"/>
        </w:rPr>
        <w:t>deep learning</w:t>
      </w:r>
      <w:r>
        <w:rPr>
          <w:rFonts w:ascii="Garamond" w:hAnsi="Garamond" w:hint="default"/>
          <w:sz w:val="24"/>
          <w:szCs w:val="24"/>
          <w:rtl w:val="0"/>
        </w:rPr>
        <w:t xml:space="preserve">” </w:t>
      </w:r>
      <w:r>
        <w:rPr>
          <w:rFonts w:ascii="Garamond" w:hAnsi="Garamond"/>
          <w:sz w:val="24"/>
          <w:szCs w:val="24"/>
          <w:rtl w:val="0"/>
          <w:lang w:val="en-US"/>
        </w:rPr>
        <w:t xml:space="preserve">(Quinn et al., 2020). Much as the stories and guidance from Dr. Richardson and the contributors show that generating momentum to innovate is indeed </w:t>
      </w:r>
      <w:r>
        <w:rPr>
          <w:rFonts w:ascii="Garamond" w:hAnsi="Garamond" w:hint="default"/>
          <w:sz w:val="24"/>
          <w:szCs w:val="24"/>
          <w:rtl w:val="1"/>
          <w:lang w:val="ar-SA" w:bidi="ar-SA"/>
        </w:rPr>
        <w:t>“</w:t>
      </w:r>
      <w:r>
        <w:rPr>
          <w:rFonts w:ascii="Garamond" w:hAnsi="Garamond"/>
          <w:sz w:val="24"/>
          <w:szCs w:val="24"/>
          <w:rtl w:val="0"/>
          <w:lang w:val="fr-FR"/>
        </w:rPr>
        <w:t>complex,</w:t>
      </w:r>
      <w:r>
        <w:rPr>
          <w:rFonts w:ascii="Garamond" w:hAnsi="Garamond" w:hint="default"/>
          <w:sz w:val="24"/>
          <w:szCs w:val="24"/>
          <w:rtl w:val="0"/>
        </w:rPr>
        <w:t xml:space="preserve">” </w:t>
      </w:r>
      <w:r>
        <w:rPr>
          <w:rFonts w:ascii="Garamond" w:hAnsi="Garamond"/>
          <w:sz w:val="24"/>
          <w:szCs w:val="24"/>
          <w:rtl w:val="0"/>
          <w:lang w:val="en-US"/>
        </w:rPr>
        <w:t xml:space="preserve">it does not have to be </w:t>
      </w:r>
      <w:r>
        <w:rPr>
          <w:rFonts w:ascii="Garamond" w:hAnsi="Garamond" w:hint="default"/>
          <w:sz w:val="24"/>
          <w:szCs w:val="24"/>
          <w:rtl w:val="1"/>
          <w:lang w:val="ar-SA" w:bidi="ar-SA"/>
        </w:rPr>
        <w:t>“</w:t>
      </w:r>
      <w:r>
        <w:rPr>
          <w:rFonts w:ascii="Garamond" w:hAnsi="Garamond"/>
          <w:sz w:val="24"/>
          <w:szCs w:val="24"/>
          <w:rtl w:val="0"/>
          <w:lang w:val="en-US"/>
        </w:rPr>
        <w:t>complicated</w:t>
      </w:r>
      <w:r>
        <w:rPr>
          <w:rFonts w:ascii="Garamond" w:hAnsi="Garamond" w:hint="default"/>
          <w:sz w:val="24"/>
          <w:szCs w:val="24"/>
          <w:rtl w:val="0"/>
        </w:rPr>
        <w:t xml:space="preserve">” </w:t>
      </w:r>
      <w:r>
        <w:rPr>
          <w:rFonts w:ascii="Garamond" w:hAnsi="Garamond"/>
          <w:sz w:val="24"/>
          <w:szCs w:val="24"/>
          <w:rtl w:val="0"/>
          <w:lang w:val="en-US"/>
        </w:rPr>
        <w:t>(Cuban, 2010) or frustrating.</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z w:val="24"/>
          <w:szCs w:val="24"/>
        </w:rPr>
      </w:pPr>
      <w:r>
        <w:rPr>
          <w:rFonts w:ascii="Garamond" w:hAnsi="Garamond"/>
          <w:sz w:val="24"/>
          <w:szCs w:val="24"/>
          <w:rtl w:val="0"/>
          <w:lang w:val="en-US"/>
        </w:rPr>
        <w:t>Despite the prevailing accountability mindset of modern education, schools can and should be places of learning through cultivating a culture of inquiry, reflection and growth, and action and impact</w:t>
      </w:r>
      <w:r>
        <w:rPr>
          <w:rFonts w:ascii="Garamond" w:hAnsi="Garamond" w:hint="default"/>
          <w:sz w:val="24"/>
          <w:szCs w:val="24"/>
          <w:rtl w:val="0"/>
          <w:lang w:val="en-US"/>
        </w:rPr>
        <w:t>—</w:t>
      </w:r>
      <w:r>
        <w:rPr>
          <w:rFonts w:ascii="Garamond" w:hAnsi="Garamond"/>
          <w:sz w:val="24"/>
          <w:szCs w:val="24"/>
          <w:rtl w:val="0"/>
          <w:lang w:val="en-US"/>
        </w:rPr>
        <w:t xml:space="preserve">for children and adults alike. Running a school does not have to just be about cost-to-benefit numbers, rules, and buildings; it can be about </w:t>
      </w:r>
      <w:r>
        <w:rPr>
          <w:rFonts w:ascii="Garamond" w:hAnsi="Garamond" w:hint="default"/>
          <w:sz w:val="24"/>
          <w:szCs w:val="24"/>
          <w:rtl w:val="1"/>
          <w:lang w:val="ar-SA" w:bidi="ar-SA"/>
        </w:rPr>
        <w:t>“</w:t>
      </w:r>
      <w:r>
        <w:rPr>
          <w:rFonts w:ascii="Garamond" w:hAnsi="Garamond"/>
          <w:sz w:val="24"/>
          <w:szCs w:val="24"/>
          <w:rtl w:val="0"/>
          <w:lang w:val="en-US"/>
        </w:rPr>
        <w:t>putting learning first and doing that through concerted efforts to empower others and share leadership</w:t>
      </w:r>
      <w:r>
        <w:rPr>
          <w:rFonts w:ascii="Garamond" w:hAnsi="Garamond" w:hint="default"/>
          <w:sz w:val="24"/>
          <w:szCs w:val="24"/>
          <w:rtl w:val="0"/>
        </w:rPr>
        <w:t xml:space="preserve">” </w:t>
      </w:r>
      <w:r>
        <w:rPr>
          <w:rFonts w:ascii="Garamond" w:hAnsi="Garamond"/>
          <w:sz w:val="24"/>
          <w:szCs w:val="24"/>
          <w:rtl w:val="0"/>
          <w:lang w:val="en-US"/>
        </w:rPr>
        <w:t>(p. 86). As evidenced, building capacity amongst stakeholders, trust through intentional communication of vision and values, and distributed leadership can strengthen relationships to amplify voice and agency for a more engaged school community.</w:t>
      </w:r>
    </w:p>
    <w:p>
      <w:pPr>
        <w:pStyle w:val="Body"/>
        <w:suppressAutoHyphens w:val="0"/>
        <w:spacing w:after="0"/>
        <w:rPr>
          <w:rFonts w:ascii="Garamond" w:cs="Garamond" w:hAnsi="Garamond" w:eastAsia="Garamond"/>
          <w:sz w:val="24"/>
          <w:szCs w:val="24"/>
        </w:rPr>
      </w:pPr>
    </w:p>
    <w:p>
      <w:pPr>
        <w:pStyle w:val="Body"/>
        <w:suppressAutoHyphens w:val="0"/>
        <w:spacing w:after="0"/>
        <w:rPr>
          <w:rFonts w:ascii="Garamond" w:cs="Garamond" w:hAnsi="Garamond" w:eastAsia="Garamond"/>
          <w:spacing w:val="4"/>
          <w:sz w:val="24"/>
          <w:szCs w:val="24"/>
          <w:shd w:val="clear" w:color="auto" w:fill="ffff00"/>
        </w:rPr>
      </w:pPr>
      <w:r>
        <w:rPr>
          <w:rFonts w:ascii="Garamond" w:hAnsi="Garamond"/>
          <w:sz w:val="24"/>
          <w:szCs w:val="24"/>
          <w:rtl w:val="0"/>
          <w:lang w:val="en-US"/>
        </w:rPr>
        <w:t>In sum, this edited book is an important contribution to the field of educational administration with appeal to scholar-practitioners and school leaders, both local and international. It provides timely insights into mission-driven, learning-focussed schools that are innovating to connect classroom curriculum with relevant academic and post-school experiences. How important during the pandemic and beyond, with educators everywhere doing their level best to future-ready students for a world where the prevailing constant is change.</w:t>
      </w: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4"/>
          <w:sz w:val="24"/>
          <w:szCs w:val="24"/>
          <w:shd w:val="clear" w:color="auto" w:fill="ffff00"/>
        </w:rPr>
      </w:pPr>
    </w:p>
    <w:p>
      <w:pPr>
        <w:pStyle w:val="Body"/>
        <w:spacing w:after="0" w:line="240" w:lineRule="auto"/>
        <w:rPr>
          <w:rFonts w:ascii="Garamond" w:cs="Garamond" w:hAnsi="Garamond" w:eastAsia="Garamond"/>
          <w:spacing w:val="0"/>
          <w:shd w:val="clear" w:color="auto" w:fill="ffff00"/>
        </w:rPr>
        <w:sectPr>
          <w:type w:val="continuous"/>
          <w:pgSz w:w="12240" w:h="15840" w:orient="portrait"/>
          <w:pgMar w:top="1440" w:right="1350" w:bottom="1440" w:left="1440" w:header="720" w:footer="720"/>
          <w:cols w:space="720" w:num="2" w:equalWidth="1"/>
          <w:bidi w:val="0"/>
        </w:sectPr>
      </w:pPr>
      <w:r>
        <w:rPr>
          <w:rFonts w:ascii="Garamond" w:cs="Garamond" w:hAnsi="Garamond" w:eastAsia="Garamond"/>
          <w:spacing w:val="0"/>
          <w:shd w:val="clear" w:color="auto" w:fill="ffff00"/>
        </w:rPr>
      </w:r>
    </w:p>
    <w:p>
      <w:pPr>
        <w:pStyle w:val="Body"/>
        <w:spacing w:after="0" w:line="240" w:lineRule="auto"/>
        <w:rPr>
          <w:rFonts w:ascii="Garamond" w:cs="Garamond" w:hAnsi="Garamond" w:eastAsia="Garamond"/>
          <w:spacing w:val="0"/>
          <w:shd w:val="clear" w:color="auto" w:fill="ffff00"/>
        </w:rPr>
        <w:sectPr>
          <w:type w:val="continuous"/>
          <w:pgSz w:w="12240" w:h="15840" w:orient="portrait"/>
          <w:pgMar w:top="1440" w:right="1350" w:bottom="1440" w:left="1440" w:header="720" w:footer="720"/>
          <w:bidi w:val="0"/>
        </w:sectPr>
      </w:pPr>
      <w:r>
        <w:rPr>
          <w:rFonts w:ascii="Garamond" w:cs="Garamond" w:hAnsi="Garamond" w:eastAsia="Garamond"/>
          <w:spacing w:val="0"/>
          <w:shd w:val="clear" w:color="auto" w:fill="ffff00"/>
        </w:rPr>
      </w:r>
    </w:p>
    <w:p>
      <w:pPr>
        <w:pStyle w:val="Body"/>
        <w:spacing w:after="0" w:line="240" w:lineRule="auto"/>
        <w:rPr>
          <w:rFonts w:ascii="Garamond" w:cs="Garamond" w:hAnsi="Garamond" w:eastAsia="Garamond"/>
          <w:spacing w:val="0"/>
          <w:shd w:val="clear" w:color="auto" w:fill="ffff00"/>
        </w:rPr>
        <w:sectPr>
          <w:type w:val="continuous"/>
          <w:pgSz w:w="12240" w:h="15840" w:orient="portrait"/>
          <w:pgMar w:top="1440" w:right="1350" w:bottom="1440" w:left="1440" w:header="720" w:footer="720"/>
          <w:cols w:space="720" w:num="2" w:equalWidth="1"/>
          <w:bidi w:val="0"/>
        </w:sectPr>
      </w:pPr>
      <w:r>
        <w:rPr>
          <w:rFonts w:ascii="Garamond" w:cs="Garamond" w:hAnsi="Garamond" w:eastAsia="Garamond"/>
          <w:spacing w:val="0"/>
          <w:shd w:val="clear" w:color="auto" w:fill="ffff00"/>
        </w:rPr>
      </w:r>
    </w:p>
    <w:p>
      <w:pPr>
        <w:pStyle w:val="Body"/>
        <w:spacing w:after="0" w:line="240" w:lineRule="auto"/>
        <w:rPr>
          <w:rFonts w:ascii="Garamond" w:cs="Garamond" w:hAnsi="Garamond" w:eastAsia="Garamond"/>
          <w:b w:val="1"/>
          <w:bCs w:val="1"/>
          <w:sz w:val="24"/>
          <w:szCs w:val="24"/>
        </w:rPr>
      </w:pPr>
      <w:r>
        <w:rPr>
          <w:rFonts w:ascii="Garamond" w:cs="Garamond" w:hAnsi="Garamond" w:eastAsia="Garamond"/>
          <w:b w:val="1"/>
          <w:bCs w:val="1"/>
          <w:sz w:val="24"/>
          <w:szCs w:val="24"/>
        </w:rPr>
        <mc:AlternateContent>
          <mc:Choice Requires="wps">
            <w:drawing xmlns:a="http://schemas.openxmlformats.org/drawingml/2006/main">
              <wp:inline distT="0" distB="0" distL="0" distR="0">
                <wp:extent cx="5943600" cy="19050"/>
                <wp:effectExtent l="0" t="0" r="0" b="0"/>
                <wp:docPr id="1073741829"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after="0" w:line="240" w:lineRule="auto"/>
        <w:rPr>
          <w:rFonts w:ascii="Garamond" w:cs="Garamond" w:hAnsi="Garamond" w:eastAsia="Garamond"/>
          <w:b w:val="1"/>
          <w:bCs w:val="1"/>
          <w:sz w:val="24"/>
          <w:szCs w:val="24"/>
        </w:rPr>
      </w:pPr>
      <w:r>
        <w:rPr>
          <w:rFonts w:ascii="Garamond" w:hAnsi="Garamond"/>
          <w:b w:val="1"/>
          <w:bCs w:val="1"/>
          <w:sz w:val="24"/>
          <w:szCs w:val="24"/>
          <w:rtl w:val="0"/>
          <w:lang w:val="fr-FR"/>
        </w:rPr>
        <w:t xml:space="preserve">References </w:t>
      </w:r>
    </w:p>
    <w:p>
      <w:pPr>
        <w:pStyle w:val="Body"/>
        <w:spacing w:after="0" w:line="240" w:lineRule="auto"/>
        <w:rPr>
          <w:rFonts w:ascii="Garamond" w:cs="Garamond" w:hAnsi="Garamond" w:eastAsia="Garamond"/>
          <w:sz w:val="24"/>
          <w:szCs w:val="24"/>
        </w:rPr>
      </w:pPr>
    </w:p>
    <w:p>
      <w:pPr>
        <w:pStyle w:val="Body"/>
        <w:suppressAutoHyphens w:val="0"/>
        <w:spacing w:after="0"/>
        <w:rPr>
          <w:rStyle w:val="None"/>
          <w:rFonts w:ascii="Garamond" w:cs="Garamond" w:hAnsi="Garamond" w:eastAsia="Garamond"/>
          <w:sz w:val="24"/>
          <w:szCs w:val="24"/>
        </w:rPr>
      </w:pPr>
      <w:r>
        <w:rPr>
          <w:rFonts w:ascii="Garamond" w:hAnsi="Garamond"/>
          <w:sz w:val="24"/>
          <w:szCs w:val="24"/>
          <w:rtl w:val="0"/>
          <w:lang w:val="en-US"/>
        </w:rPr>
        <w:t xml:space="preserve">Cuban, L. (2010, June 8). </w:t>
      </w:r>
      <w:r>
        <w:rPr>
          <w:rFonts w:ascii="Garamond" w:hAnsi="Garamond"/>
          <w:i w:val="1"/>
          <w:iCs w:val="1"/>
          <w:sz w:val="24"/>
          <w:szCs w:val="24"/>
          <w:rtl w:val="0"/>
          <w:lang w:val="en-US"/>
        </w:rPr>
        <w:t xml:space="preserve">The difference between </w:t>
      </w:r>
      <w:r>
        <w:rPr>
          <w:rFonts w:ascii="Garamond" w:hAnsi="Garamond" w:hint="default"/>
          <w:i w:val="1"/>
          <w:iCs w:val="1"/>
          <w:sz w:val="24"/>
          <w:szCs w:val="24"/>
          <w:rtl w:val="1"/>
          <w:lang w:val="ar-SA" w:bidi="ar-SA"/>
        </w:rPr>
        <w:t>“</w:t>
      </w:r>
      <w:r>
        <w:rPr>
          <w:rFonts w:ascii="Garamond" w:hAnsi="Garamond"/>
          <w:i w:val="1"/>
          <w:iCs w:val="1"/>
          <w:sz w:val="24"/>
          <w:szCs w:val="24"/>
          <w:rtl w:val="0"/>
          <w:lang w:val="en-US"/>
        </w:rPr>
        <w:t>complicated</w:t>
      </w:r>
      <w:r>
        <w:rPr>
          <w:rFonts w:ascii="Garamond" w:hAnsi="Garamond" w:hint="default"/>
          <w:i w:val="1"/>
          <w:iCs w:val="1"/>
          <w:sz w:val="24"/>
          <w:szCs w:val="24"/>
          <w:rtl w:val="0"/>
        </w:rPr>
        <w:t xml:space="preserve">” </w:t>
      </w:r>
      <w:r>
        <w:rPr>
          <w:rFonts w:ascii="Garamond" w:hAnsi="Garamond"/>
          <w:i w:val="1"/>
          <w:iCs w:val="1"/>
          <w:sz w:val="24"/>
          <w:szCs w:val="24"/>
          <w:rtl w:val="0"/>
          <w:lang w:val="en-US"/>
        </w:rPr>
        <w:t xml:space="preserve">and </w:t>
      </w:r>
      <w:r>
        <w:rPr>
          <w:rFonts w:ascii="Garamond" w:hAnsi="Garamond" w:hint="default"/>
          <w:i w:val="1"/>
          <w:iCs w:val="1"/>
          <w:sz w:val="24"/>
          <w:szCs w:val="24"/>
          <w:rtl w:val="1"/>
          <w:lang w:val="ar-SA" w:bidi="ar-SA"/>
        </w:rPr>
        <w:t>“</w:t>
      </w:r>
      <w:r>
        <w:rPr>
          <w:rFonts w:ascii="Garamond" w:hAnsi="Garamond"/>
          <w:i w:val="1"/>
          <w:iCs w:val="1"/>
          <w:sz w:val="24"/>
          <w:szCs w:val="24"/>
          <w:rtl w:val="0"/>
          <w:lang w:val="it-IT"/>
        </w:rPr>
        <w:t>complex</w:t>
      </w:r>
      <w:r>
        <w:rPr>
          <w:rFonts w:ascii="Garamond" w:hAnsi="Garamond" w:hint="default"/>
          <w:i w:val="1"/>
          <w:iCs w:val="1"/>
          <w:sz w:val="24"/>
          <w:szCs w:val="24"/>
          <w:rtl w:val="0"/>
        </w:rPr>
        <w:t xml:space="preserve">” </w:t>
      </w:r>
      <w:r>
        <w:rPr>
          <w:rFonts w:ascii="Garamond" w:hAnsi="Garamond"/>
          <w:i w:val="1"/>
          <w:iCs w:val="1"/>
          <w:sz w:val="24"/>
          <w:szCs w:val="24"/>
          <w:rtl w:val="0"/>
          <w:lang w:val="en-US"/>
        </w:rPr>
        <w:t>matters</w:t>
      </w:r>
      <w:r>
        <w:rPr>
          <w:rFonts w:ascii="Garamond" w:hAnsi="Garamond"/>
          <w:sz w:val="24"/>
          <w:szCs w:val="24"/>
          <w:rtl w:val="0"/>
          <w:lang w:val="en-US"/>
        </w:rPr>
        <w:t xml:space="preserve"> [Blog post]. </w:t>
      </w:r>
      <w:r>
        <w:rPr>
          <w:rStyle w:val="Hyperlink.0"/>
          <w:rFonts w:ascii="Garamond" w:cs="Garamond" w:hAnsi="Garamond" w:eastAsia="Garamond"/>
          <w:outline w:val="0"/>
          <w:color w:val="1155cc"/>
          <w:sz w:val="24"/>
          <w:szCs w:val="24"/>
          <w:u w:val="single" w:color="1155cc"/>
          <w14:textFill>
            <w14:solidFill>
              <w14:srgbClr w14:val="1155CC"/>
            </w14:solidFill>
          </w14:textFill>
        </w:rPr>
        <w:fldChar w:fldCharType="begin" w:fldLock="0"/>
      </w:r>
      <w:r>
        <w:rPr>
          <w:rStyle w:val="Hyperlink.0"/>
          <w:rFonts w:ascii="Garamond" w:cs="Garamond" w:hAnsi="Garamond" w:eastAsia="Garamond"/>
          <w:outline w:val="0"/>
          <w:color w:val="1155cc"/>
          <w:sz w:val="24"/>
          <w:szCs w:val="24"/>
          <w:u w:val="single" w:color="1155cc"/>
          <w14:textFill>
            <w14:solidFill>
              <w14:srgbClr w14:val="1155CC"/>
            </w14:solidFill>
          </w14:textFill>
        </w:rPr>
        <w:instrText xml:space="preserve"> HYPERLINK "https://larrycuban.wordpress.com/2010/06/08/the-difference-between-complicated-and-complex-matters/"</w:instrText>
      </w:r>
      <w:r>
        <w:rPr>
          <w:rStyle w:val="Hyperlink.0"/>
          <w:rFonts w:ascii="Garamond" w:cs="Garamond" w:hAnsi="Garamond" w:eastAsia="Garamond"/>
          <w:outline w:val="0"/>
          <w:color w:val="1155cc"/>
          <w:sz w:val="24"/>
          <w:szCs w:val="24"/>
          <w:u w:val="single" w:color="1155cc"/>
          <w14:textFill>
            <w14:solidFill>
              <w14:srgbClr w14:val="1155CC"/>
            </w14:solidFill>
          </w14:textFill>
        </w:rPr>
        <w:fldChar w:fldCharType="separate" w:fldLock="0"/>
      </w:r>
      <w:r>
        <w:rPr>
          <w:rStyle w:val="Hyperlink.0"/>
          <w:rFonts w:ascii="Garamond" w:hAnsi="Garamond"/>
          <w:outline w:val="0"/>
          <w:color w:val="1155cc"/>
          <w:sz w:val="24"/>
          <w:szCs w:val="24"/>
          <w:u w:val="single" w:color="1155cc"/>
          <w:rtl w:val="0"/>
          <w:lang w:val="en-US"/>
          <w14:textFill>
            <w14:solidFill>
              <w14:srgbClr w14:val="1155CC"/>
            </w14:solidFill>
          </w14:textFill>
        </w:rPr>
        <w:t>https://larrycuban.wordpress.com/2010/06/08/the-difference-between-complicated-and-complex-matters/</w:t>
      </w:r>
      <w:r>
        <w:rPr>
          <w:rFonts w:ascii="Garamond" w:cs="Garamond" w:hAnsi="Garamond" w:eastAsia="Garamond"/>
          <w:sz w:val="22"/>
          <w:szCs w:val="22"/>
        </w:rPr>
        <w:fldChar w:fldCharType="end" w:fldLock="0"/>
      </w:r>
    </w:p>
    <w:p>
      <w:pPr>
        <w:pStyle w:val="Body"/>
        <w:suppressAutoHyphens w:val="0"/>
        <w:spacing w:after="0"/>
        <w:rPr>
          <w:rFonts w:ascii="Garamond" w:cs="Garamond" w:hAnsi="Garamond" w:eastAsia="Garamond"/>
          <w:sz w:val="24"/>
          <w:szCs w:val="24"/>
        </w:rPr>
      </w:pPr>
    </w:p>
    <w:p>
      <w:pPr>
        <w:pStyle w:val="Body"/>
        <w:suppressAutoHyphens w:val="0"/>
        <w:spacing w:after="0"/>
        <w:rPr>
          <w:rStyle w:val="None"/>
          <w:rFonts w:ascii="Garamond" w:cs="Garamond" w:hAnsi="Garamond" w:eastAsia="Garamond"/>
          <w:sz w:val="24"/>
          <w:szCs w:val="24"/>
        </w:rPr>
      </w:pPr>
      <w:r>
        <w:rPr>
          <w:rStyle w:val="None"/>
          <w:rFonts w:ascii="Garamond" w:hAnsi="Garamond"/>
          <w:sz w:val="24"/>
          <w:szCs w:val="24"/>
          <w:rtl w:val="0"/>
          <w:lang w:val="pt-PT"/>
        </w:rPr>
        <w:t xml:space="preserve">Freire, P. (2000). </w:t>
      </w:r>
      <w:r>
        <w:rPr>
          <w:rStyle w:val="None"/>
          <w:rFonts w:ascii="Garamond" w:hAnsi="Garamond"/>
          <w:i w:val="1"/>
          <w:iCs w:val="1"/>
          <w:sz w:val="24"/>
          <w:szCs w:val="24"/>
          <w:rtl w:val="0"/>
          <w:lang w:val="en-US"/>
        </w:rPr>
        <w:t>The pedagogy of the oppressed</w:t>
      </w:r>
      <w:r>
        <w:rPr>
          <w:rStyle w:val="None"/>
          <w:rFonts w:ascii="Garamond" w:hAnsi="Garamond"/>
          <w:sz w:val="24"/>
          <w:szCs w:val="24"/>
          <w:rtl w:val="0"/>
          <w:lang w:val="en-US"/>
        </w:rPr>
        <w:t xml:space="preserve"> (30th anniv. ed.). Bloomsbury Academic.</w:t>
      </w:r>
    </w:p>
    <w:p>
      <w:pPr>
        <w:pStyle w:val="Body"/>
        <w:suppressAutoHyphens w:val="0"/>
        <w:spacing w:after="0"/>
        <w:rPr>
          <w:rFonts w:ascii="Garamond" w:cs="Garamond" w:hAnsi="Garamond" w:eastAsia="Garamond"/>
          <w:sz w:val="24"/>
          <w:szCs w:val="24"/>
        </w:rPr>
      </w:pPr>
    </w:p>
    <w:p>
      <w:pPr>
        <w:pStyle w:val="Body"/>
        <w:suppressAutoHyphens w:val="0"/>
        <w:spacing w:after="0"/>
        <w:rPr>
          <w:rStyle w:val="None"/>
          <w:rFonts w:ascii="Garamond" w:cs="Garamond" w:hAnsi="Garamond" w:eastAsia="Garamond"/>
          <w:sz w:val="22"/>
          <w:szCs w:val="22"/>
        </w:rPr>
      </w:pPr>
      <w:r>
        <w:rPr>
          <w:rStyle w:val="None"/>
          <w:rFonts w:ascii="Garamond" w:hAnsi="Garamond"/>
          <w:sz w:val="24"/>
          <w:szCs w:val="24"/>
          <w:rtl w:val="0"/>
          <w:lang w:val="de-DE"/>
        </w:rPr>
        <w:t>Quinn, J., McEachen,</w:t>
      </w:r>
      <w:r>
        <w:rPr>
          <w:rStyle w:val="None"/>
          <w:rFonts w:ascii="Garamond" w:hAnsi="Garamond"/>
          <w:sz w:val="24"/>
          <w:szCs w:val="24"/>
          <w:rtl w:val="0"/>
          <w:lang w:val="en-US"/>
        </w:rPr>
        <w:t xml:space="preserve"> J., </w:t>
      </w:r>
      <w:r>
        <w:rPr>
          <w:rStyle w:val="None"/>
          <w:rFonts w:ascii="Garamond" w:hAnsi="Garamond"/>
          <w:sz w:val="24"/>
          <w:szCs w:val="24"/>
          <w:rtl w:val="0"/>
        </w:rPr>
        <w:t>Fullan,</w:t>
      </w:r>
      <w:r>
        <w:rPr>
          <w:rStyle w:val="None"/>
          <w:rFonts w:ascii="Garamond" w:hAnsi="Garamond"/>
          <w:sz w:val="24"/>
          <w:szCs w:val="24"/>
          <w:rtl w:val="0"/>
          <w:lang w:val="en-US"/>
        </w:rPr>
        <w:t xml:space="preserve"> M.,</w:t>
      </w:r>
      <w:r>
        <w:rPr>
          <w:rStyle w:val="None"/>
          <w:rFonts w:ascii="Garamond" w:hAnsi="Garamond"/>
          <w:sz w:val="24"/>
          <w:szCs w:val="24"/>
          <w:rtl w:val="0"/>
        </w:rPr>
        <w:t xml:space="preserve"> Gardner</w:t>
      </w:r>
      <w:r>
        <w:rPr>
          <w:rStyle w:val="None"/>
          <w:rFonts w:ascii="Garamond" w:hAnsi="Garamond"/>
          <w:sz w:val="24"/>
          <w:szCs w:val="24"/>
          <w:rtl w:val="0"/>
          <w:lang w:val="en-US"/>
        </w:rPr>
        <w:t>, M.,</w:t>
      </w:r>
      <w:r>
        <w:rPr>
          <w:rStyle w:val="None"/>
          <w:rFonts w:ascii="Garamond" w:hAnsi="Garamond"/>
          <w:sz w:val="24"/>
          <w:szCs w:val="24"/>
          <w:rtl w:val="0"/>
        </w:rPr>
        <w:t xml:space="preserve"> &amp; Drummy</w:t>
      </w:r>
      <w:r>
        <w:rPr>
          <w:rStyle w:val="None"/>
          <w:rFonts w:ascii="Garamond" w:hAnsi="Garamond"/>
          <w:sz w:val="24"/>
          <w:szCs w:val="24"/>
          <w:rtl w:val="0"/>
          <w:lang w:val="en-US"/>
        </w:rPr>
        <w:t>, M.</w:t>
      </w:r>
      <w:r>
        <w:rPr>
          <w:rStyle w:val="None"/>
          <w:rFonts w:ascii="Garamond" w:hAnsi="Garamond"/>
          <w:sz w:val="24"/>
          <w:szCs w:val="24"/>
          <w:rtl w:val="0"/>
        </w:rPr>
        <w:t xml:space="preserve"> (2020). </w:t>
      </w:r>
      <w:r>
        <w:rPr>
          <w:rStyle w:val="None"/>
          <w:rFonts w:ascii="Garamond" w:hAnsi="Garamond"/>
          <w:i w:val="1"/>
          <w:iCs w:val="1"/>
          <w:sz w:val="24"/>
          <w:szCs w:val="24"/>
          <w:rtl w:val="0"/>
          <w:lang w:val="en-US"/>
        </w:rPr>
        <w:t xml:space="preserve">Dive into </w:t>
      </w:r>
      <w:r>
        <w:rPr>
          <w:rStyle w:val="None"/>
          <w:rFonts w:ascii="Garamond" w:hAnsi="Garamond"/>
          <w:i w:val="1"/>
          <w:iCs w:val="1"/>
          <w:sz w:val="24"/>
          <w:szCs w:val="24"/>
          <w:rtl w:val="0"/>
          <w:lang w:val="en-US"/>
        </w:rPr>
        <w:t>d</w:t>
      </w:r>
      <w:r>
        <w:rPr>
          <w:rStyle w:val="None"/>
          <w:rFonts w:ascii="Garamond" w:hAnsi="Garamond"/>
          <w:i w:val="1"/>
          <w:iCs w:val="1"/>
          <w:sz w:val="24"/>
          <w:szCs w:val="24"/>
          <w:rtl w:val="0"/>
          <w:lang w:val="en-US"/>
        </w:rPr>
        <w:t xml:space="preserve">eep </w:t>
      </w:r>
      <w:r>
        <w:rPr>
          <w:rStyle w:val="None"/>
          <w:rFonts w:ascii="Garamond" w:hAnsi="Garamond"/>
          <w:i w:val="1"/>
          <w:iCs w:val="1"/>
          <w:sz w:val="24"/>
          <w:szCs w:val="24"/>
          <w:rtl w:val="0"/>
          <w:lang w:val="en-US"/>
        </w:rPr>
        <w:t>l</w:t>
      </w:r>
      <w:r>
        <w:rPr>
          <w:rStyle w:val="None"/>
          <w:rFonts w:ascii="Garamond" w:hAnsi="Garamond"/>
          <w:i w:val="1"/>
          <w:iCs w:val="1"/>
          <w:sz w:val="24"/>
          <w:szCs w:val="24"/>
          <w:rtl w:val="0"/>
          <w:lang w:val="en-US"/>
        </w:rPr>
        <w:t xml:space="preserve">earning: Tools for </w:t>
      </w:r>
      <w:r>
        <w:rPr>
          <w:rStyle w:val="None"/>
          <w:rFonts w:ascii="Garamond" w:hAnsi="Garamond"/>
          <w:i w:val="1"/>
          <w:iCs w:val="1"/>
          <w:sz w:val="24"/>
          <w:szCs w:val="24"/>
          <w:rtl w:val="0"/>
          <w:lang w:val="en-US"/>
        </w:rPr>
        <w:t>e</w:t>
      </w:r>
      <w:r>
        <w:rPr>
          <w:rStyle w:val="None"/>
          <w:rFonts w:ascii="Garamond" w:hAnsi="Garamond"/>
          <w:i w:val="1"/>
          <w:iCs w:val="1"/>
          <w:sz w:val="24"/>
          <w:szCs w:val="24"/>
          <w:rtl w:val="0"/>
          <w:lang w:val="fr-FR"/>
        </w:rPr>
        <w:t>ngagement</w:t>
      </w:r>
      <w:r>
        <w:rPr>
          <w:rStyle w:val="None"/>
          <w:rFonts w:ascii="Garamond" w:hAnsi="Garamond"/>
          <w:sz w:val="24"/>
          <w:szCs w:val="24"/>
          <w:rtl w:val="0"/>
          <w:lang w:val="de-DE"/>
        </w:rPr>
        <w:t>. Corwin Press.</w:t>
      </w:r>
    </w:p>
    <w:p>
      <w:pPr>
        <w:pStyle w:val="Body"/>
        <w:spacing w:after="0" w:line="240" w:lineRule="auto"/>
        <w:rPr>
          <w:rStyle w:val="None"/>
          <w:rFonts w:ascii="Garamond" w:cs="Garamond" w:hAnsi="Garamond" w:eastAsia="Garamond"/>
        </w:rPr>
      </w:pPr>
    </w:p>
    <w:p>
      <w:pPr>
        <w:pStyle w:val="Body"/>
        <w:spacing w:after="0" w:line="240" w:lineRule="auto"/>
        <w:rPr>
          <w:rStyle w:val="None"/>
          <w:rFonts w:ascii="Garamond" w:cs="Garamond" w:hAnsi="Garamond" w:eastAsia="Garamond"/>
          <w:b w:val="1"/>
          <w:bCs w:val="1"/>
          <w:sz w:val="24"/>
          <w:szCs w:val="24"/>
        </w:rPr>
      </w:pPr>
      <w:r>
        <w:rPr>
          <w:rStyle w:val="None"/>
          <w:rFonts w:ascii="Garamond" w:hAnsi="Garamond"/>
          <w:b w:val="1"/>
          <w:bCs w:val="1"/>
          <w:sz w:val="24"/>
          <w:szCs w:val="24"/>
          <w:rtl w:val="0"/>
          <w:lang w:val="en-US"/>
        </w:rPr>
        <w:t>About the Reviewer</w:t>
      </w:r>
    </w:p>
    <w:p>
      <w:pPr>
        <w:pStyle w:val="Body"/>
        <w:spacing w:after="0" w:line="240" w:lineRule="auto"/>
        <w:rPr>
          <w:rStyle w:val="None"/>
          <w:rFonts w:ascii="Garamond" w:cs="Garamond" w:hAnsi="Garamond" w:eastAsia="Garamond"/>
          <w:sz w:val="24"/>
          <w:szCs w:val="24"/>
          <w:shd w:val="clear" w:color="auto" w:fill="00ffff"/>
        </w:rPr>
      </w:pPr>
      <w:r>
        <w:rPr>
          <w:rStyle w:val="None"/>
          <w:rFonts w:ascii="Garamond" w:hAnsi="Garamond"/>
          <w:b w:val="1"/>
          <w:bCs w:val="1"/>
          <w:sz w:val="24"/>
          <w:szCs w:val="24"/>
          <w:shd w:val="clear" w:color="auto" w:fill="00ffff"/>
          <w:rtl w:val="0"/>
          <w:lang w:val="sv-SE"/>
        </w:rPr>
        <w:t>Dr. Eric Jabal</w:t>
      </w:r>
      <w:r>
        <w:rPr>
          <w:rStyle w:val="None"/>
          <w:rFonts w:ascii="Garamond" w:hAnsi="Garamond"/>
          <w:sz w:val="24"/>
          <w:szCs w:val="24"/>
          <w:shd w:val="clear" w:color="auto" w:fill="00ffff"/>
          <w:rtl w:val="0"/>
          <w:lang w:val="en-US"/>
        </w:rPr>
        <w:t xml:space="preserve"> is Head of School at Coll</w:t>
      </w:r>
      <w:r>
        <w:rPr>
          <w:rStyle w:val="None"/>
          <w:rFonts w:ascii="Garamond" w:hAnsi="Garamond" w:hint="default"/>
          <w:sz w:val="24"/>
          <w:szCs w:val="24"/>
          <w:shd w:val="clear" w:color="auto" w:fill="00ffff"/>
          <w:rtl w:val="0"/>
          <w:lang w:val="it-IT"/>
        </w:rPr>
        <w:t>è</w:t>
      </w:r>
      <w:r>
        <w:rPr>
          <w:rStyle w:val="None"/>
          <w:rFonts w:ascii="Garamond" w:hAnsi="Garamond"/>
          <w:sz w:val="24"/>
          <w:szCs w:val="24"/>
          <w:shd w:val="clear" w:color="auto" w:fill="00ffff"/>
          <w:rtl w:val="0"/>
          <w:lang w:val="fr-FR"/>
        </w:rPr>
        <w:t>ge de l</w:t>
      </w:r>
      <w:r>
        <w:rPr>
          <w:rStyle w:val="None"/>
          <w:rFonts w:ascii="Garamond" w:hAnsi="Garamond" w:hint="default"/>
          <w:sz w:val="24"/>
          <w:szCs w:val="24"/>
          <w:shd w:val="clear" w:color="auto" w:fill="00ffff"/>
          <w:rtl w:val="1"/>
        </w:rPr>
        <w:t>’</w:t>
      </w:r>
      <w:r>
        <w:rPr>
          <w:rStyle w:val="None"/>
          <w:rFonts w:ascii="Garamond" w:hAnsi="Garamond"/>
          <w:sz w:val="24"/>
          <w:szCs w:val="24"/>
          <w:shd w:val="clear" w:color="auto" w:fill="00ffff"/>
          <w:rtl w:val="0"/>
          <w:lang w:val="fr-FR"/>
        </w:rPr>
        <w:t>Ouest de l'</w:t>
      </w:r>
      <w:r>
        <w:rPr>
          <w:rStyle w:val="None"/>
          <w:rFonts w:ascii="Garamond" w:hAnsi="Garamond" w:hint="default"/>
          <w:sz w:val="24"/>
          <w:szCs w:val="24"/>
          <w:shd w:val="clear" w:color="auto" w:fill="00ffff"/>
          <w:rtl w:val="0"/>
        </w:rPr>
        <w:t>Î</w:t>
      </w:r>
      <w:r>
        <w:rPr>
          <w:rStyle w:val="None"/>
          <w:rFonts w:ascii="Garamond" w:hAnsi="Garamond"/>
          <w:sz w:val="24"/>
          <w:szCs w:val="24"/>
          <w:shd w:val="clear" w:color="auto" w:fill="00ffff"/>
          <w:rtl w:val="0"/>
          <w:lang w:val="en-US"/>
        </w:rPr>
        <w:t>le/West Island College (WIC), a bilingual high school in Montreal. Before joining WIC, Eric served as a Council of International Schools evaluation team visitor and accreditation officer based in Hong Kong. Since 1994, Eric has worked as a teacher and administrator in Europe and East Asia. Eric</w:t>
      </w:r>
      <w:r>
        <w:rPr>
          <w:rStyle w:val="None"/>
          <w:rFonts w:ascii="Garamond" w:hAnsi="Garamond" w:hint="default"/>
          <w:sz w:val="24"/>
          <w:szCs w:val="24"/>
          <w:shd w:val="clear" w:color="auto" w:fill="00ffff"/>
          <w:rtl w:val="1"/>
        </w:rPr>
        <w:t>’</w:t>
      </w:r>
      <w:r>
        <w:rPr>
          <w:rStyle w:val="None"/>
          <w:rFonts w:ascii="Garamond" w:hAnsi="Garamond"/>
          <w:sz w:val="24"/>
          <w:szCs w:val="24"/>
          <w:shd w:val="clear" w:color="auto" w:fill="00ffff"/>
          <w:rtl w:val="0"/>
          <w:lang w:val="en-US"/>
        </w:rPr>
        <w:t>s main research interests include student engagement, leadership for school improvement, and comparative and international studies.</w:t>
      </w:r>
    </w:p>
    <w:p>
      <w:pPr>
        <w:pStyle w:val="Body"/>
        <w:spacing w:after="0" w:line="240" w:lineRule="auto"/>
        <w:rPr>
          <w:rStyle w:val="None"/>
          <w:rFonts w:ascii="Garamond" w:cs="Garamond" w:hAnsi="Garamond" w:eastAsia="Garamond"/>
          <w:b w:val="1"/>
          <w:bCs w:val="1"/>
          <w:sz w:val="24"/>
          <w:szCs w:val="24"/>
          <w:shd w:val="clear" w:color="auto" w:fill="00ffff"/>
        </w:rPr>
      </w:pPr>
    </w:p>
    <w:p>
      <w:pPr>
        <w:pStyle w:val="Body"/>
        <w:suppressAutoHyphens w:val="0"/>
        <w:spacing w:after="0" w:line="240" w:lineRule="auto"/>
      </w:pPr>
      <w:r>
        <w:rPr>
          <w:rStyle w:val="None"/>
          <w:rFonts w:ascii="Arial Unicode MS" w:cs="Arial Unicode MS" w:hAnsi="Arial Unicode MS" w:eastAsia="Arial Unicode MS"/>
          <w:b w:val="0"/>
          <w:bCs w:val="0"/>
          <w:i w:val="0"/>
          <w:iCs w:val="0"/>
        </w:rPr>
        <w:br w:type="page"/>
      </w:r>
    </w:p>
    <w:p>
      <w:pPr>
        <w:pStyle w:val="Body"/>
        <w:spacing w:after="0"/>
        <w:rPr>
          <w:rStyle w:val="None"/>
          <w:rFonts w:ascii="Garamond" w:cs="Garamond" w:hAnsi="Garamond" w:eastAsia="Garamond"/>
          <w:i w:val="1"/>
          <w:iCs w:val="1"/>
        </w:rPr>
      </w:pPr>
      <w:r>
        <w:rPr>
          <w:rStyle w:val="None"/>
          <w:rFonts w:ascii="Garamond" w:cs="Garamond" w:hAnsi="Garamond" w:eastAsia="Garamond"/>
          <w:i w:val="1"/>
          <w:iCs w:val="1"/>
        </w:rPr>
        <w:drawing xmlns:a="http://schemas.openxmlformats.org/drawingml/2006/main">
          <wp:inline distT="0" distB="0" distL="0" distR="0">
            <wp:extent cx="5743575" cy="1231663"/>
            <wp:effectExtent l="0" t="0" r="0" b="0"/>
            <wp:docPr id="1073741830" name="officeArt object" descr="er-banner.jpg"/>
            <wp:cNvGraphicFramePr/>
            <a:graphic xmlns:a="http://schemas.openxmlformats.org/drawingml/2006/main">
              <a:graphicData uri="http://schemas.openxmlformats.org/drawingml/2006/picture">
                <pic:pic xmlns:pic="http://schemas.openxmlformats.org/drawingml/2006/picture">
                  <pic:nvPicPr>
                    <pic:cNvPr id="1073741830" name="er-banner.jpg" descr="er-banner.jpg"/>
                    <pic:cNvPicPr>
                      <a:picLocks noChangeAspect="1"/>
                    </pic:cNvPicPr>
                  </pic:nvPicPr>
                  <pic:blipFill>
                    <a:blip r:embed="rId17">
                      <a:extLst/>
                    </a:blip>
                    <a:stretch>
                      <a:fillRect/>
                    </a:stretch>
                  </pic:blipFill>
                  <pic:spPr>
                    <a:xfrm>
                      <a:off x="0" y="0"/>
                      <a:ext cx="5743575" cy="1231663"/>
                    </a:xfrm>
                    <a:prstGeom prst="rect">
                      <a:avLst/>
                    </a:prstGeom>
                    <a:ln w="12700" cap="flat">
                      <a:noFill/>
                      <a:miter lim="400000"/>
                    </a:ln>
                    <a:effectLst/>
                  </pic:spPr>
                </pic:pic>
              </a:graphicData>
            </a:graphic>
          </wp:inline>
        </w:drawing>
      </w:r>
    </w:p>
    <w:p>
      <w:pPr>
        <w:pStyle w:val="Body"/>
        <w:spacing w:after="0" w:line="240" w:lineRule="auto"/>
        <w:rPr>
          <w:rStyle w:val="None"/>
          <w:rFonts w:ascii="Garamond" w:cs="Garamond" w:hAnsi="Garamond" w:eastAsia="Garamond"/>
          <w:spacing w:val="4"/>
          <w:sz w:val="24"/>
          <w:szCs w:val="24"/>
        </w:rPr>
      </w:pPr>
      <w:r>
        <w:rPr>
          <w:rStyle w:val="None"/>
          <w:rFonts w:ascii="Garamond" w:cs="Garamond" w:hAnsi="Garamond" w:eastAsia="Garamond"/>
          <w:spacing w:val="4"/>
          <w:sz w:val="24"/>
          <w:szCs w:val="24"/>
        </w:rPr>
        <w:drawing xmlns:a="http://schemas.openxmlformats.org/drawingml/2006/main">
          <wp:inline distT="0" distB="0" distL="0" distR="0">
            <wp:extent cx="1114425" cy="390525"/>
            <wp:effectExtent l="0" t="0" r="0" b="0"/>
            <wp:docPr id="1073741831" name="officeArt object" descr="C:\Users\ssmcb\Dropbox (ASU)\EPAA GAship\social media &amp; logos copy\CC-SA.png"/>
            <wp:cNvGraphicFramePr/>
            <a:graphic xmlns:a="http://schemas.openxmlformats.org/drawingml/2006/main">
              <a:graphicData uri="http://schemas.openxmlformats.org/drawingml/2006/picture">
                <pic:pic xmlns:pic="http://schemas.openxmlformats.org/drawingml/2006/picture">
                  <pic:nvPicPr>
                    <pic:cNvPr id="1073741831" name="C:\Users\ssmcb\Dropbox (ASU)\EPAA GAship\social media &amp; logos copy\CC-SA.png" descr="C:\Users\ssmcb\Dropbox (ASU)\EPAA GAship\social media &amp; logos copy\CC-SA.png"/>
                    <pic:cNvPicPr>
                      <a:picLocks noChangeAspect="1"/>
                    </pic:cNvPicPr>
                  </pic:nvPicPr>
                  <pic:blipFill>
                    <a:blip r:embed="rId18">
                      <a:extLst/>
                    </a:blip>
                    <a:stretch>
                      <a:fillRect/>
                    </a:stretch>
                  </pic:blipFill>
                  <pic:spPr>
                    <a:xfrm>
                      <a:off x="0" y="0"/>
                      <a:ext cx="1114425" cy="390525"/>
                    </a:xfrm>
                    <a:prstGeom prst="rect">
                      <a:avLst/>
                    </a:prstGeom>
                    <a:ln w="12700" cap="flat">
                      <a:noFill/>
                      <a:miter lim="400000"/>
                    </a:ln>
                    <a:effectLst/>
                  </pic:spPr>
                </pic:pic>
              </a:graphicData>
            </a:graphic>
          </wp:inline>
        </w:drawing>
      </w:r>
      <w:r>
        <w:rPr>
          <w:rStyle w:val="None"/>
          <w:rFonts w:ascii="Garamond" w:hAnsi="Garamond"/>
          <w:i w:val="1"/>
          <w:iCs w:val="1"/>
          <w:sz w:val="24"/>
          <w:szCs w:val="24"/>
          <w:rtl w:val="0"/>
          <w:lang w:val="en-US"/>
        </w:rPr>
        <w:t>Education Review/Rese</w:t>
      </w:r>
      <w:r>
        <w:rPr>
          <w:rStyle w:val="None"/>
          <w:rFonts w:ascii="Garamond" w:hAnsi="Garamond" w:hint="default"/>
          <w:i w:val="1"/>
          <w:iCs w:val="1"/>
          <w:sz w:val="24"/>
          <w:szCs w:val="24"/>
          <w:rtl w:val="0"/>
          <w:lang w:val="en-US"/>
        </w:rPr>
        <w:t>ñ</w:t>
      </w:r>
      <w:r>
        <w:rPr>
          <w:rStyle w:val="None"/>
          <w:rFonts w:ascii="Garamond" w:hAnsi="Garamond"/>
          <w:i w:val="1"/>
          <w:iCs w:val="1"/>
          <w:sz w:val="24"/>
          <w:szCs w:val="24"/>
          <w:rtl w:val="0"/>
          <w:lang w:val="pt-PT"/>
        </w:rPr>
        <w:t xml:space="preserve">as Educativas/Resenhas Educativas </w:t>
      </w:r>
      <w:r>
        <w:rPr>
          <w:rStyle w:val="None"/>
          <w:rFonts w:ascii="Garamond" w:hAnsi="Garamond"/>
          <w:sz w:val="24"/>
          <w:szCs w:val="24"/>
          <w:rtl w:val="0"/>
          <w:lang w:val="en-US"/>
        </w:rPr>
        <w:t xml:space="preserve">is supported by the Scholarly Communications Group at the Mary Lou Fulton Teachers College, Arizona State University. Copyright is retained by the first or sole author, who grants right of first publication to the </w:t>
      </w:r>
      <w:r>
        <w:rPr>
          <w:rStyle w:val="None"/>
          <w:rFonts w:ascii="Garamond" w:hAnsi="Garamond"/>
          <w:i w:val="1"/>
          <w:iCs w:val="1"/>
          <w:sz w:val="24"/>
          <w:szCs w:val="24"/>
          <w:rtl w:val="0"/>
          <w:lang w:val="en-US"/>
        </w:rPr>
        <w:t>Education Review</w:t>
      </w:r>
      <w:r>
        <w:rPr>
          <w:rStyle w:val="None"/>
          <w:rFonts w:ascii="Garamond" w:hAnsi="Garamond"/>
          <w:sz w:val="24"/>
          <w:szCs w:val="24"/>
          <w:rtl w:val="0"/>
        </w:rPr>
        <w:t xml:space="preserve">. </w:t>
      </w:r>
      <w:r>
        <w:rPr>
          <w:rStyle w:val="None"/>
          <w:rFonts w:ascii="Garamond" w:hAnsi="Garamond"/>
          <w:spacing w:val="4"/>
          <w:sz w:val="24"/>
          <w:szCs w:val="24"/>
          <w:rtl w:val="0"/>
          <w:lang w:val="en-US"/>
        </w:rPr>
        <w:t xml:space="preserve">Readers are free to copy, display, distribute, and adapt this article, as long as the work is attributed to the author(s) and </w:t>
      </w:r>
      <w:r>
        <w:rPr>
          <w:rStyle w:val="None"/>
          <w:rFonts w:ascii="Garamond" w:hAnsi="Garamond"/>
          <w:i w:val="1"/>
          <w:iCs w:val="1"/>
          <w:spacing w:val="4"/>
          <w:sz w:val="24"/>
          <w:szCs w:val="24"/>
          <w:rtl w:val="0"/>
          <w:lang w:val="en-US"/>
        </w:rPr>
        <w:t>Education Review</w:t>
      </w:r>
      <w:r>
        <w:rPr>
          <w:rStyle w:val="None"/>
          <w:rFonts w:ascii="Garamond" w:hAnsi="Garamond"/>
          <w:spacing w:val="4"/>
          <w:sz w:val="24"/>
          <w:szCs w:val="24"/>
          <w:rtl w:val="0"/>
          <w:lang w:val="en-US"/>
        </w:rPr>
        <w:t xml:space="preserve">, the changes are identified, and the same license applies to the derivative work. More details of this Creative Commons license are available at </w:t>
      </w:r>
      <w:r>
        <w:rPr>
          <w:rStyle w:val="Hyperlink.1"/>
        </w:rPr>
        <w:fldChar w:fldCharType="begin" w:fldLock="0"/>
      </w:r>
      <w:r>
        <w:rPr>
          <w:rStyle w:val="Hyperlink.1"/>
        </w:rPr>
        <w:instrText xml:space="preserve"> HYPERLINK "https://creativecommons.org/licenses/by-sa/4.0"</w:instrText>
      </w:r>
      <w:r>
        <w:rPr>
          <w:rStyle w:val="Hyperlink.1"/>
        </w:rPr>
        <w:fldChar w:fldCharType="separate" w:fldLock="0"/>
      </w:r>
      <w:r>
        <w:rPr>
          <w:rStyle w:val="Hyperlink.1"/>
          <w:rtl w:val="0"/>
          <w:lang w:val="en-US"/>
        </w:rPr>
        <w:t>https://creativecommons.org/licenses/by-sa/4.0/</w:t>
      </w:r>
      <w:r>
        <w:rPr/>
        <w:fldChar w:fldCharType="end" w:fldLock="0"/>
      </w:r>
      <w:r>
        <w:rPr>
          <w:rStyle w:val="Hyperlink.1"/>
          <w:rtl w:val="0"/>
        </w:rPr>
        <w:t xml:space="preserve">. </w:t>
      </w:r>
    </w:p>
    <w:p>
      <w:pPr>
        <w:pStyle w:val="Body"/>
        <w:spacing w:after="0" w:line="240" w:lineRule="auto"/>
        <w:rPr>
          <w:rStyle w:val="None"/>
          <w:rFonts w:ascii="Garamond" w:cs="Garamond" w:hAnsi="Garamond" w:eastAsia="Garamond"/>
          <w:spacing w:val="4"/>
          <w:sz w:val="24"/>
          <w:szCs w:val="24"/>
        </w:rPr>
      </w:pPr>
    </w:p>
    <w:p>
      <w:pPr>
        <w:pStyle w:val="Body"/>
        <w:spacing w:after="0" w:line="240" w:lineRule="auto"/>
        <w:rPr>
          <w:rStyle w:val="None"/>
          <w:rFonts w:ascii="Garamond" w:cs="Garamond" w:hAnsi="Garamond" w:eastAsia="Garamond"/>
          <w:sz w:val="24"/>
          <w:szCs w:val="24"/>
        </w:rPr>
      </w:pPr>
      <w:r>
        <w:rPr>
          <w:rStyle w:val="None"/>
          <w:rFonts w:ascii="Garamond" w:hAnsi="Garamond"/>
          <w:b w:val="1"/>
          <w:bCs w:val="1"/>
          <w:sz w:val="24"/>
          <w:szCs w:val="24"/>
          <w:rtl w:val="0"/>
          <w:lang w:val="en-US"/>
        </w:rPr>
        <w:t>Disclaimer:</w:t>
      </w:r>
      <w:r>
        <w:rPr>
          <w:rStyle w:val="None"/>
          <w:rFonts w:ascii="Garamond" w:hAnsi="Garamond" w:hint="default"/>
          <w:sz w:val="24"/>
          <w:szCs w:val="24"/>
          <w:rtl w:val="0"/>
          <w:lang w:val="en-US"/>
        </w:rPr>
        <w:t> </w:t>
      </w:r>
      <w:r>
        <w:rPr>
          <w:rStyle w:val="None"/>
          <w:rFonts w:ascii="Garamond" w:hAnsi="Garamond"/>
          <w:sz w:val="24"/>
          <w:szCs w:val="24"/>
          <w:rtl w:val="0"/>
          <w:lang w:val="en-US"/>
        </w:rPr>
        <w:t>The views or opinions presented in book reviews are solely those of the author(s) and do not necessarily represent those of</w:t>
      </w:r>
      <w:r>
        <w:rPr>
          <w:rStyle w:val="None"/>
          <w:rFonts w:ascii="Garamond" w:hAnsi="Garamond" w:hint="default"/>
          <w:sz w:val="24"/>
          <w:szCs w:val="24"/>
          <w:rtl w:val="0"/>
          <w:lang w:val="en-US"/>
        </w:rPr>
        <w:t> </w:t>
      </w:r>
      <w:r>
        <w:rPr>
          <w:rStyle w:val="None"/>
          <w:rFonts w:ascii="Garamond" w:hAnsi="Garamond"/>
          <w:i w:val="1"/>
          <w:iCs w:val="1"/>
          <w:sz w:val="24"/>
          <w:szCs w:val="24"/>
          <w:rtl w:val="0"/>
          <w:lang w:val="en-US"/>
        </w:rPr>
        <w:t>Education Review.</w:t>
      </w:r>
    </w:p>
    <w:p>
      <w:pPr>
        <w:pStyle w:val="Body"/>
        <w:spacing w:after="0" w:line="240" w:lineRule="auto"/>
        <w:rPr>
          <w:rStyle w:val="None"/>
          <w:rFonts w:ascii="Garamond" w:cs="Garamond" w:hAnsi="Garamond" w:eastAsia="Garamond"/>
          <w:sz w:val="24"/>
          <w:szCs w:val="24"/>
        </w:rPr>
      </w:pP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None"/>
          <w:rFonts w:ascii="Garamond" w:cs="Garamond" w:hAnsi="Garamond" w:eastAsia="Garamond"/>
          <w:outline w:val="0"/>
          <w:color w:val="c94909"/>
          <w:sz w:val="24"/>
          <w:szCs w:val="24"/>
          <w:u w:color="c94909"/>
          <w14:textFill>
            <w14:solidFill>
              <w14:srgbClr w14:val="C94909"/>
            </w14:solidFill>
          </w14:textFill>
        </w:rPr>
      </w:pPr>
      <w:r>
        <w:rPr>
          <w:rStyle w:val="None"/>
          <w:rFonts w:ascii="Garamond" w:cs="Garamond" w:hAnsi="Garamond" w:eastAsia="Garamond"/>
          <w:sz w:val="24"/>
          <w:szCs w:val="24"/>
        </w:rPr>
        <mc:AlternateContent>
          <mc:Choice Requires="wpg">
            <w:drawing xmlns:a="http://schemas.openxmlformats.org/drawingml/2006/main">
              <wp:anchor distT="57467" distB="57467" distL="57467" distR="57467" simplePos="0" relativeHeight="251659264" behindDoc="0" locked="0" layoutInCell="1" allowOverlap="1">
                <wp:simplePos x="0" y="0"/>
                <wp:positionH relativeFrom="column">
                  <wp:posOffset>76200</wp:posOffset>
                </wp:positionH>
                <wp:positionV relativeFrom="line">
                  <wp:posOffset>32385</wp:posOffset>
                </wp:positionV>
                <wp:extent cx="211455" cy="299085"/>
                <wp:effectExtent l="0" t="0" r="0" b="0"/>
                <wp:wrapThrough wrapText="bothSides" distL="57467" distR="57467">
                  <wp:wrapPolygon edited="1">
                    <wp:start x="0" y="0"/>
                    <wp:lineTo x="21600" y="0"/>
                    <wp:lineTo x="21600" y="21600"/>
                    <wp:lineTo x="0" y="21600"/>
                    <wp:lineTo x="0" y="0"/>
                  </wp:wrapPolygon>
                </wp:wrapThrough>
                <wp:docPr id="1073741834" name="officeArt object" descr="Picture 20"/>
                <wp:cNvGraphicFramePr/>
                <a:graphic xmlns:a="http://schemas.openxmlformats.org/drawingml/2006/main">
                  <a:graphicData uri="http://schemas.microsoft.com/office/word/2010/wordprocessingGroup">
                    <wpg:wgp>
                      <wpg:cNvGrpSpPr/>
                      <wpg:grpSpPr>
                        <a:xfrm>
                          <a:off x="0" y="0"/>
                          <a:ext cx="211455" cy="299085"/>
                          <a:chOff x="0" y="0"/>
                          <a:chExt cx="211454" cy="299084"/>
                        </a:xfrm>
                      </wpg:grpSpPr>
                      <wps:wsp>
                        <wps:cNvPr id="1073741832" name="Shape 1073741832"/>
                        <wps:cNvSpPr/>
                        <wps:spPr>
                          <a:xfrm>
                            <a:off x="0" y="0"/>
                            <a:ext cx="211455" cy="299085"/>
                          </a:xfrm>
                          <a:prstGeom prst="rect">
                            <a:avLst/>
                          </a:prstGeom>
                          <a:solidFill>
                            <a:srgbClr val="FFFFFF"/>
                          </a:solidFill>
                          <a:ln w="12700" cap="flat">
                            <a:noFill/>
                            <a:miter lim="400000"/>
                          </a:ln>
                          <a:effectLst/>
                        </wps:spPr>
                        <wps:bodyPr/>
                      </wps:wsp>
                      <pic:pic xmlns:pic="http://schemas.openxmlformats.org/drawingml/2006/picture">
                        <pic:nvPicPr>
                          <pic:cNvPr id="1073741833" name="image3.png"/>
                          <pic:cNvPicPr>
                            <a:picLocks noChangeAspect="1"/>
                          </pic:cNvPicPr>
                        </pic:nvPicPr>
                        <pic:blipFill>
                          <a:blip r:embed="rId19">
                            <a:extLst/>
                          </a:blip>
                          <a:stretch>
                            <a:fillRect/>
                          </a:stretch>
                        </pic:blipFill>
                        <pic:spPr>
                          <a:xfrm>
                            <a:off x="0" y="0"/>
                            <a:ext cx="211455" cy="299085"/>
                          </a:xfrm>
                          <a:prstGeom prst="rect">
                            <a:avLst/>
                          </a:prstGeom>
                          <a:ln w="12700" cap="flat">
                            <a:noFill/>
                            <a:miter lim="400000"/>
                          </a:ln>
                          <a:effectLst/>
                        </pic:spPr>
                      </pic:pic>
                    </wpg:wgp>
                  </a:graphicData>
                </a:graphic>
              </wp:anchor>
            </w:drawing>
          </mc:Choice>
          <mc:Fallback>
            <w:pict>
              <v:group id="_x0000_s1027" style="visibility:visible;position:absolute;margin-left:6.0pt;margin-top:2.5pt;width:16.6pt;height:23.5pt;z-index:251659264;mso-position-horizontal:absolute;mso-position-horizontal-relative:text;mso-position-vertical:absolute;mso-position-vertical-relative:line;mso-wrap-distance-left:4.5pt;mso-wrap-distance-top:4.5pt;mso-wrap-distance-right:4.5pt;mso-wrap-distance-bottom:4.5pt;" coordorigin="0,0" coordsize="211455,299085">
                <w10:wrap type="through" side="bothSides" anchorx="text"/>
                <v:rect id="_x0000_s1028" style="position:absolute;left:0;top:0;width:211455;height:299085;">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211455;height:299085;">
                  <v:imagedata r:id="rId19" o:title="image3.png"/>
                </v:shape>
              </v:group>
            </w:pict>
          </mc:Fallback>
        </mc:AlternateContent>
      </w:r>
      <w:r>
        <w:rPr>
          <w:rStyle w:val="None"/>
          <w:rFonts w:ascii="Garamond" w:hAnsi="Garamond"/>
          <w:sz w:val="24"/>
          <w:szCs w:val="24"/>
          <w:rtl w:val="0"/>
          <w:lang w:val="en-US"/>
        </w:rPr>
        <w:t xml:space="preserve">Connect with </w:t>
      </w:r>
      <w:r>
        <w:rPr>
          <w:rStyle w:val="None"/>
          <w:rFonts w:ascii="Garamond" w:hAnsi="Garamond"/>
          <w:i w:val="1"/>
          <w:iCs w:val="1"/>
          <w:sz w:val="24"/>
          <w:szCs w:val="24"/>
          <w:rtl w:val="0"/>
          <w:lang w:val="en-US"/>
        </w:rPr>
        <w:t>Education Review</w:t>
      </w:r>
      <w:r>
        <w:rPr>
          <w:rStyle w:val="None"/>
          <w:rFonts w:ascii="Garamond" w:hAnsi="Garamond"/>
          <w:sz w:val="24"/>
          <w:szCs w:val="24"/>
          <w:rtl w:val="0"/>
          <w:lang w:val="en-US"/>
        </w:rPr>
        <w:t xml:space="preserve"> on Facebook (</w:t>
      </w:r>
      <w:r>
        <w:rPr>
          <w:rStyle w:val="Hyperlink.2"/>
        </w:rPr>
        <w:fldChar w:fldCharType="begin" w:fldLock="0"/>
      </w:r>
      <w:r>
        <w:rPr>
          <w:rStyle w:val="Hyperlink.2"/>
        </w:rPr>
        <w:instrText xml:space="preserve"> HYPERLINK "https://www.facebook.com/pages/Education-Review/178358222192644"</w:instrText>
      </w:r>
      <w:r>
        <w:rPr>
          <w:rStyle w:val="Hyperlink.2"/>
        </w:rPr>
        <w:fldChar w:fldCharType="separate" w:fldLock="0"/>
      </w:r>
      <w:r>
        <w:rPr>
          <w:rStyle w:val="Hyperlink.2"/>
          <w:rtl w:val="0"/>
          <w:lang w:val="en-US"/>
        </w:rPr>
        <w:t>https://www.facebook.com/pages/Education-Review/178358222192644</w:t>
      </w:r>
      <w:r>
        <w:rPr/>
        <w:fldChar w:fldCharType="end" w:fldLock="0"/>
      </w:r>
      <w:r>
        <w:rPr>
          <w:rStyle w:val="None"/>
          <w:rFonts w:ascii="Garamond" w:hAnsi="Garamond"/>
          <w:sz w:val="24"/>
          <w:szCs w:val="24"/>
          <w:rtl w:val="0"/>
          <w:lang w:val="en-US"/>
        </w:rPr>
        <w:t>) and on Twitter @EducReview</w:t>
      </w:r>
    </w:p>
    <w:p>
      <w:pPr>
        <w:pStyle w:val="Body"/>
        <w:spacing w:after="0" w:line="340" w:lineRule="exact"/>
        <w:jc w:val="center"/>
        <w:rPr>
          <w:rStyle w:val="None"/>
          <w:rFonts w:ascii="Garamond" w:cs="Garamond" w:hAnsi="Garamond" w:eastAsia="Garamond"/>
          <w:outline w:val="0"/>
          <w:color w:val="c94909"/>
          <w:spacing w:val="14"/>
          <w:sz w:val="24"/>
          <w:szCs w:val="24"/>
          <w:u w:color="c94909"/>
          <w14:textFill>
            <w14:solidFill>
              <w14:srgbClr w14:val="C94909"/>
            </w14:solidFill>
          </w14:textFill>
        </w:rPr>
      </w:pPr>
    </w:p>
    <w:p>
      <w:pPr>
        <w:pStyle w:val="Body"/>
      </w:pPr>
      <w:r>
        <w:rPr>
          <w:rStyle w:val="None"/>
          <w:rFonts w:ascii="Garamond" w:cs="Garamond" w:hAnsi="Garamond" w:eastAsia="Garamond"/>
        </w:rPr>
      </w:r>
    </w:p>
    <w:sectPr>
      <w:type w:val="continuous"/>
      <w:pgSz w:w="12240" w:h="15840" w:orient="portrait"/>
      <w:pgMar w:top="1440" w:right="135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aramond">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430"/>
        <w:tab w:val="clear" w:pos="9360"/>
      </w:tabs>
      <w:rPr>
        <w:rFonts w:ascii="Garamond" w:cs="Garamond" w:hAnsi="Garamond" w:eastAsia="Garamond"/>
        <w:outline w:val="0"/>
        <w:color w:val="ff6600"/>
        <w:sz w:val="22"/>
        <w:szCs w:val="22"/>
        <w:u w:color="ff6600"/>
        <w14:textFill>
          <w14:solidFill>
            <w14:srgbClr w14:val="FF6600"/>
          </w14:solidFill>
        </w14:textFill>
      </w:rPr>
    </w:pPr>
    <w:r>
      <w:rPr>
        <w:rFonts w:ascii="Garamond" w:cs="Garamond" w:hAnsi="Garamond" w:eastAsia="Garamond"/>
        <w:outline w:val="0"/>
        <w:color w:val="ff6600"/>
        <w:sz w:val="22"/>
        <w:szCs w:val="22"/>
        <w:u w:color="ff6600"/>
        <w14:textFill>
          <w14:solidFill>
            <w14:srgbClr w14:val="FF6600"/>
          </w14:solidFill>
        </w14:textFill>
      </w:rPr>
      <mc:AlternateContent>
        <mc:Choice Requires="wps">
          <w:drawing xmlns:a="http://schemas.openxmlformats.org/drawingml/2006/main">
            <wp:inline distT="0" distB="0" distL="0" distR="0">
              <wp:extent cx="5943600" cy="19050"/>
              <wp:effectExtent l="0" t="0" r="0" b="0"/>
              <wp:docPr id="1073741827"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AAAAA"/>
                      </a:solidFill>
                      <a:ln w="12700" cap="flat">
                        <a:noFill/>
                        <a:miter lim="400000"/>
                      </a:ln>
                      <a:effectLst/>
                    </wps:spPr>
                    <wps:bodyPr/>
                  </wps:wsp>
                </a:graphicData>
              </a:graphic>
            </wp:inline>
          </w:drawing>
        </mc:Choice>
        <mc:Fallback>
          <w:pict>
            <v:rect id="_x0000_s1031" style="visibility:visible;width:468.0pt;height:1.5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pacing w:after="0" w:line="240" w:lineRule="auto"/>
    </w:pPr>
    <w:r>
      <w:rPr>
        <w:rFonts w:ascii="Garamond" w:hAnsi="Garamond"/>
        <w:sz w:val="22"/>
        <w:szCs w:val="22"/>
        <w:shd w:val="clear" w:color="auto" w:fill="00ffff"/>
        <w:rtl w:val="0"/>
        <w:lang w:val="en-US"/>
      </w:rPr>
      <w:t>Jabal, E.</w:t>
    </w:r>
    <w:r>
      <w:rPr>
        <w:rFonts w:ascii="Garamond" w:hAnsi="Garamond"/>
        <w:sz w:val="22"/>
        <w:szCs w:val="22"/>
        <w:rtl w:val="0"/>
      </w:rPr>
      <w:t xml:space="preserve"> (</w:t>
    </w:r>
    <w:r>
      <w:rPr>
        <w:rFonts w:ascii="Garamond" w:hAnsi="Garamond"/>
        <w:sz w:val="22"/>
        <w:szCs w:val="22"/>
        <w:shd w:val="clear" w:color="auto" w:fill="ffff00"/>
        <w:rtl w:val="0"/>
        <w:lang w:val="en-US"/>
      </w:rPr>
      <w:t>EdRev will insert</w:t>
    </w:r>
    <w:r>
      <w:rPr>
        <w:rFonts w:ascii="Garamond" w:hAnsi="Garamond"/>
        <w:sz w:val="22"/>
        <w:szCs w:val="22"/>
        <w:rtl w:val="0"/>
      </w:rPr>
      <w:t xml:space="preserve"> </w:t>
    </w:r>
    <w:r>
      <w:rPr>
        <w:rFonts w:ascii="Garamond" w:hAnsi="Garamond"/>
        <w:sz w:val="22"/>
        <w:szCs w:val="22"/>
        <w:shd w:val="clear" w:color="auto" w:fill="ffff00"/>
        <w:rtl w:val="0"/>
        <w:lang w:val="nl-NL"/>
      </w:rPr>
      <w:t>date</w:t>
    </w:r>
    <w:r>
      <w:rPr>
        <w:rFonts w:ascii="Garamond" w:hAnsi="Garamond"/>
        <w:sz w:val="22"/>
        <w:szCs w:val="22"/>
        <w:rtl w:val="0"/>
        <w:lang w:val="en-US"/>
      </w:rPr>
      <w:t>). Review of</w:t>
    </w:r>
    <w:r>
      <w:rPr>
        <w:rFonts w:ascii="Garamond" w:hAnsi="Garamond"/>
        <w:i w:val="1"/>
        <w:iCs w:val="1"/>
        <w:sz w:val="22"/>
        <w:szCs w:val="22"/>
        <w:rtl w:val="0"/>
      </w:rPr>
      <w:t xml:space="preserve"> </w:t>
    </w:r>
    <w:r>
      <w:rPr>
        <w:rFonts w:ascii="Garamond" w:hAnsi="Garamond"/>
        <w:i w:val="1"/>
        <w:iCs w:val="1"/>
        <w:sz w:val="22"/>
        <w:szCs w:val="22"/>
        <w:shd w:val="clear" w:color="auto" w:fill="00ffff"/>
        <w:rtl w:val="0"/>
      </w:rPr>
      <w:t>B</w:t>
    </w:r>
    <w:r>
      <w:rPr>
        <w:rFonts w:ascii="Garamond" w:hAnsi="Garamond"/>
        <w:i w:val="1"/>
        <w:iCs w:val="1"/>
        <w:sz w:val="22"/>
        <w:szCs w:val="22"/>
        <w:shd w:val="clear" w:color="auto" w:fill="00ffff"/>
        <w:rtl w:val="0"/>
        <w:lang w:val="en-US"/>
      </w:rPr>
      <w:t>ringing innovative practices to your school: Lessons from international schools</w:t>
    </w:r>
    <w:r>
      <w:rPr>
        <w:rFonts w:ascii="Garamond" w:hAnsi="Garamond"/>
        <w:sz w:val="22"/>
        <w:szCs w:val="22"/>
        <w:rtl w:val="0"/>
      </w:rPr>
      <w:t xml:space="preserve"> by </w:t>
    </w:r>
    <w:r>
      <w:rPr>
        <w:rFonts w:ascii="Garamond" w:hAnsi="Garamond"/>
        <w:sz w:val="22"/>
        <w:szCs w:val="22"/>
        <w:shd w:val="clear" w:color="auto" w:fill="00ffff"/>
        <w:rtl w:val="0"/>
        <w:lang w:val="nl-NL"/>
      </w:rPr>
      <w:t xml:space="preserve">Book </w:t>
    </w:r>
    <w:r>
      <w:rPr>
        <w:rFonts w:ascii="Garamond" w:hAnsi="Garamond"/>
        <w:sz w:val="22"/>
        <w:szCs w:val="22"/>
        <w:shd w:val="clear" w:color="auto" w:fill="00ffff"/>
        <w:rtl w:val="0"/>
        <w:lang w:val="en-US"/>
      </w:rPr>
      <w:t>Jayson W. Richardson (Ed.)</w:t>
    </w:r>
    <w:r>
      <w:rPr>
        <w:rFonts w:ascii="Garamond" w:hAnsi="Garamond"/>
        <w:sz w:val="22"/>
        <w:szCs w:val="22"/>
        <w:rtl w:val="0"/>
      </w:rPr>
      <w:t xml:space="preserve">. </w:t>
    </w:r>
    <w:r>
      <w:rPr>
        <w:rFonts w:ascii="Garamond" w:hAnsi="Garamond"/>
        <w:i w:val="1"/>
        <w:iCs w:val="1"/>
        <w:sz w:val="22"/>
        <w:szCs w:val="22"/>
        <w:rtl w:val="0"/>
        <w:lang w:val="en-US"/>
      </w:rPr>
      <w:t>Education Review</w:t>
    </w:r>
    <w:r>
      <w:rPr>
        <w:rFonts w:ascii="Garamond" w:hAnsi="Garamond"/>
        <w:sz w:val="22"/>
        <w:szCs w:val="22"/>
        <w:rtl w:val="0"/>
      </w:rPr>
      <w:t xml:space="preserve">, </w:t>
    </w:r>
    <w:r>
      <w:rPr>
        <w:rFonts w:ascii="Garamond" w:hAnsi="Garamond"/>
        <w:i w:val="1"/>
        <w:iCs w:val="1"/>
        <w:sz w:val="22"/>
        <w:szCs w:val="22"/>
        <w:rtl w:val="0"/>
      </w:rPr>
      <w:t>28</w:t>
    </w:r>
    <w:r>
      <w:rPr>
        <w:rFonts w:ascii="Garamond" w:hAnsi="Garamond"/>
        <w:sz w:val="22"/>
        <w:szCs w:val="22"/>
        <w:rtl w:val="0"/>
      </w:rPr>
      <w:t>.</w:t>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1209674</wp:posOffset>
              </wp:positionH>
              <wp:positionV relativeFrom="page">
                <wp:posOffset>488314</wp:posOffset>
              </wp:positionV>
              <wp:extent cx="5725161" cy="1271"/>
              <wp:effectExtent l="0" t="0" r="0" b="0"/>
              <wp:wrapNone/>
              <wp:docPr id="1073741825" name="officeArt object" descr="AutoShape 2"/>
              <wp:cNvGraphicFramePr/>
              <a:graphic xmlns:a="http://schemas.openxmlformats.org/drawingml/2006/main">
                <a:graphicData uri="http://schemas.microsoft.com/office/word/2010/wordprocessingShape">
                  <wps:wsp>
                    <wps:cNvSpPr/>
                    <wps:spPr>
                      <a:xfrm>
                        <a:off x="0" y="0"/>
                        <a:ext cx="5725161" cy="1271"/>
                      </a:xfrm>
                      <a:prstGeom prst="line">
                        <a:avLst/>
                      </a:prstGeom>
                      <a:noFill/>
                      <a:ln w="19080" cap="sq">
                        <a:solidFill>
                          <a:srgbClr val="C94909"/>
                        </a:solidFill>
                        <a:prstDash val="solid"/>
                        <a:miter lim="800000"/>
                      </a:ln>
                      <a:effectLst/>
                    </wps:spPr>
                    <wps:bodyPr/>
                  </wps:wsp>
                </a:graphicData>
              </a:graphic>
            </wp:anchor>
          </w:drawing>
        </mc:Choice>
        <mc:Fallback>
          <w:pict>
            <v:line id="_x0000_s1030" style="visibility:visible;position:absolute;margin-left:95.2pt;margin-top:38.5pt;width:450.8pt;height:0.1pt;z-index:-251658240;mso-position-horizontal:absolute;mso-position-horizontal-relative:page;mso-position-vertical:absolute;mso-position-vertical-relative:page;mso-wrap-distance-left:12.0pt;mso-wrap-distance-top:12.0pt;mso-wrap-distance-right:12.0pt;mso-wrap-distance-bottom:12.0pt;">
              <v:fill on="f"/>
              <v:stroke filltype="solid" color="#C94909" opacity="100.0%" weight="1.5pt" dashstyle="solid" endcap="square" miterlimit="800.0%" joinstyle="miter" linestyle="single" startarrow="none" startarrowwidth="medium" startarrowlength="medium" endarrow="none" endarrowwidth="medium" endarrowlength="medium"/>
              <w10:wrap type="none" side="bothSides" anchorx="page" anchory="page"/>
            </v:line>
          </w:pict>
        </mc:Fallback>
      </mc:AlternateContent>
    </w:r>
  </w:p>
  <w:p>
    <w:pPr>
      <w:pStyle w:val="header"/>
      <w:tabs>
        <w:tab w:val="left" w:pos="450"/>
      </w:tabs>
    </w:pPr>
    <w:r>
      <w:rPr>
        <w:rStyle w:val="page number"/>
      </w:rPr>
      <w:tab/>
    </w:r>
    <w:r>
      <w:rPr>
        <w:rFonts w:ascii="Garamond" w:hAnsi="Garamond"/>
        <w:b w:val="1"/>
        <w:bCs w:val="1"/>
        <w:i w:val="1"/>
        <w:iCs w:val="1"/>
        <w:outline w:val="0"/>
        <w:color w:val="c94909"/>
        <w:u w:color="c94909"/>
        <w:rtl w:val="0"/>
        <w:lang w:val="en-US"/>
        <w14:textFill>
          <w14:solidFill>
            <w14:srgbClr w14:val="C94909"/>
          </w14:solidFill>
        </w14:textFill>
      </w:rPr>
      <w:t>Education Review  http://www.edrev.info</w:t>
    </w:r>
    <w:r>
      <w:rPr>
        <w:rStyle w:val="page number"/>
      </w:rPr>
      <w:tab/>
      <w:tab/>
    </w:r>
    <w:r>
      <w:rPr>
        <w:outline w:val="0"/>
        <w:color w:val="c94909"/>
        <w:u w:color="c94909"/>
        <w:rtl w:val="0"/>
        <w14:textFill>
          <w14:solidFill>
            <w14:srgbClr w14:val="C94909"/>
          </w14:solidFill>
        </w14:textFill>
      </w:rPr>
      <w:fldChar w:fldCharType="begin" w:fldLock="0"/>
    </w:r>
    <w:r>
      <w:rPr>
        <w:outline w:val="0"/>
        <w:color w:val="c94909"/>
        <w:u w:color="c94909"/>
        <w:rtl w:val="0"/>
        <w14:textFill>
          <w14:solidFill>
            <w14:srgbClr w14:val="C94909"/>
          </w14:solidFill>
        </w14:textFill>
      </w:rPr>
      <w:instrText xml:space="preserve"> PAGE </w:instrText>
    </w:r>
    <w:r>
      <w:rPr>
        <w:outline w:val="0"/>
        <w:color w:val="c94909"/>
        <w:u w:color="c94909"/>
        <w:rtl w:val="0"/>
        <w14:textFill>
          <w14:solidFill>
            <w14:srgbClr w14:val="C94909"/>
          </w14:solidFill>
        </w14:textFill>
      </w:rPr>
      <w:fldChar w:fldCharType="separate" w:fldLock="0"/>
    </w:r>
    <w:r>
      <w:rPr>
        <w:outline w:val="0"/>
        <w:color w:val="c94909"/>
        <w:u w:color="c94909"/>
        <w:rtl w:val="0"/>
        <w14:textFill>
          <w14:solidFill>
            <w14:srgbClr w14:val="C94909"/>
          </w14:solidFill>
        </w14:textFill>
      </w:rPr>
    </w:r>
    <w:r>
      <w:rPr>
        <w:outline w:val="0"/>
        <w:color w:val="c94909"/>
        <w:u w:color="c94909"/>
        <w:rtl w:val="0"/>
        <w14:textFill>
          <w14:solidFill>
            <w14:srgbClr w14:val="C94909"/>
          </w14:solidFill>
        </w14:textFill>
      </w:rPr>
      <w:fldChar w:fldCharType="end" w:fldLock="0"/>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rPr>
        <w:rFonts w:ascii="Garamond" w:cs="Garamond" w:hAnsi="Garamond" w:eastAsia="Garamond"/>
        <w:sz w:val="22"/>
        <w:szCs w:val="22"/>
      </w:rPr>
    </w:pPr>
    <w:r>
      <w:rPr>
        <w:rFonts w:ascii="Garamond" w:cs="Garamond" w:hAnsi="Garamond" w:eastAsia="Garamond"/>
        <w:sz w:val="22"/>
        <w:szCs w:val="22"/>
        <w:rtl w:val="0"/>
      </w:rPr>
      <w:fldChar w:fldCharType="begin" w:fldLock="0"/>
    </w:r>
    <w:r>
      <w:rPr>
        <w:rFonts w:ascii="Garamond" w:cs="Garamond" w:hAnsi="Garamond" w:eastAsia="Garamond"/>
        <w:sz w:val="22"/>
        <w:szCs w:val="22"/>
        <w:rtl w:val="0"/>
      </w:rPr>
      <w:instrText xml:space="preserve"> PAGE </w:instrText>
    </w:r>
    <w:r>
      <w:rPr>
        <w:rFonts w:ascii="Garamond" w:cs="Garamond" w:hAnsi="Garamond" w:eastAsia="Garamond"/>
        <w:sz w:val="22"/>
        <w:szCs w:val="22"/>
        <w:rtl w:val="0"/>
      </w:rPr>
      <w:fldChar w:fldCharType="separate" w:fldLock="0"/>
    </w:r>
    <w:r>
      <w:rPr>
        <w:rFonts w:ascii="Garamond" w:cs="Garamond" w:hAnsi="Garamond" w:eastAsia="Garamond"/>
        <w:sz w:val="22"/>
        <w:szCs w:val="22"/>
        <w:rtl w:val="0"/>
      </w:rPr>
      <w:fldChar w:fldCharType="end" w:fldLock="0"/>
    </w:r>
  </w:p>
  <w:p>
    <w:pPr>
      <w:pStyle w:val="header"/>
    </w:pPr>
    <w:r>
      <w:rPr>
        <w:rFonts w:ascii="Garamond" w:hAnsi="Garamond"/>
        <w:i w:val="1"/>
        <w:iCs w:val="1"/>
        <w:sz w:val="22"/>
        <w:szCs w:val="22"/>
        <w:rtl w:val="0"/>
        <w:lang w:val="en-US"/>
      </w:rPr>
      <w:t>Education Review /Rese</w:t>
    </w:r>
    <w:r>
      <w:rPr>
        <w:rFonts w:ascii="Garamond" w:hAnsi="Garamond" w:hint="default"/>
        <w:i w:val="1"/>
        <w:iCs w:val="1"/>
        <w:sz w:val="22"/>
        <w:szCs w:val="22"/>
        <w:rtl w:val="0"/>
        <w:lang w:val="en-US"/>
      </w:rPr>
      <w:t>ñ</w:t>
    </w:r>
    <w:r>
      <w:rPr>
        <w:rFonts w:ascii="Garamond" w:hAnsi="Garamond"/>
        <w:i w:val="1"/>
        <w:iCs w:val="1"/>
        <w:sz w:val="22"/>
        <w:szCs w:val="22"/>
        <w:rtl w:val="0"/>
        <w:lang w:val="en-US"/>
      </w:rPr>
      <w:t>as Educativas</w:t>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spacing w:after="0"/>
      <w:jc w:val="right"/>
      <w:rPr>
        <w:rFonts w:ascii="Arial" w:cs="Arial" w:hAnsi="Arial" w:eastAsia="Arial"/>
        <w:b w:val="1"/>
        <w:bCs w:val="1"/>
        <w:spacing w:val="20"/>
        <w:sz w:val="30"/>
        <w:szCs w:val="30"/>
      </w:rPr>
    </w:pPr>
  </w:p>
  <w:p>
    <w:pPr>
      <w:pStyle w:val="Body"/>
      <w:spacing w:after="0"/>
      <w:jc w:val="center"/>
    </w:pPr>
    <w:r>
      <w:rPr>
        <w:rFonts w:ascii="Arial" w:cs="Arial" w:hAnsi="Arial" w:eastAsia="Arial"/>
        <w:i w:val="1"/>
        <w:iCs w:val="1"/>
      </w:rPr>
      <w:drawing xmlns:a="http://schemas.openxmlformats.org/drawingml/2006/main">
        <wp:inline distT="0" distB="0" distL="0" distR="0">
          <wp:extent cx="5507783" cy="1181100"/>
          <wp:effectExtent l="0" t="0" r="0" b="0"/>
          <wp:docPr id="1073741826" name="officeArt object" descr="er-banner.jpg"/>
          <wp:cNvGraphicFramePr/>
          <a:graphic xmlns:a="http://schemas.openxmlformats.org/drawingml/2006/main">
            <a:graphicData uri="http://schemas.openxmlformats.org/drawingml/2006/picture">
              <pic:pic xmlns:pic="http://schemas.openxmlformats.org/drawingml/2006/picture">
                <pic:nvPicPr>
                  <pic:cNvPr id="1073741826" name="er-banner.jpg" descr="er-banner.jpg"/>
                  <pic:cNvPicPr>
                    <a:picLocks noChangeAspect="1"/>
                  </pic:cNvPicPr>
                </pic:nvPicPr>
                <pic:blipFill>
                  <a:blip r:embed="rId1">
                    <a:extLst/>
                  </a:blip>
                  <a:stretch>
                    <a:fillRect/>
                  </a:stretch>
                </pic:blipFill>
                <pic:spPr>
                  <a:xfrm>
                    <a:off x="0" y="0"/>
                    <a:ext cx="5507783" cy="1181100"/>
                  </a:xfrm>
                  <a:prstGeom prst="rect">
                    <a:avLst/>
                  </a:prstGeom>
                  <a:ln w="12700" cap="flat">
                    <a:noFill/>
                    <a:miter lim="400000"/>
                  </a:ln>
                  <a:effectLst/>
                </pic:spPr>
              </pic:pic>
            </a:graphicData>
          </a:graphic>
        </wp:inline>
      </w:drawing>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rPr>
        <w:sz w:val="22"/>
        <w:szCs w:val="22"/>
      </w:rPr>
    </w:pPr>
    <w:r>
      <w:rPr>
        <w:sz w:val="22"/>
        <w:szCs w:val="22"/>
        <w:rtl w:val="0"/>
      </w:rPr>
      <w:fldChar w:fldCharType="begin" w:fldLock="0"/>
    </w:r>
    <w:r>
      <w:rPr>
        <w:sz w:val="22"/>
        <w:szCs w:val="22"/>
        <w:rtl w:val="0"/>
      </w:rPr>
      <w:instrText xml:space="preserve"> PAGE </w:instrText>
    </w:r>
    <w:r>
      <w:rPr>
        <w:sz w:val="22"/>
        <w:szCs w:val="22"/>
        <w:rtl w:val="0"/>
      </w:rPr>
      <w:fldChar w:fldCharType="separate" w:fldLock="0"/>
    </w:r>
    <w:r>
      <w:rPr>
        <w:sz w:val="22"/>
        <w:szCs w:val="22"/>
        <w:rtl w:val="0"/>
      </w:rPr>
      <w:fldChar w:fldCharType="end" w:fldLock="0"/>
    </w:r>
  </w:p>
  <w:p>
    <w:pPr>
      <w:pStyle w:val="header"/>
      <w:ind w:right="360"/>
    </w:pPr>
    <w:r>
      <w:rPr>
        <w:rFonts w:ascii="Garamond" w:hAnsi="Garamond"/>
        <w:i w:val="1"/>
        <w:iCs w:val="1"/>
        <w:sz w:val="22"/>
        <w:szCs w:val="22"/>
        <w:rtl w:val="0"/>
        <w:lang w:val="en-US"/>
      </w:rPr>
      <w:t xml:space="preserve">Review of </w:t>
    </w:r>
    <w:r>
      <w:rPr>
        <w:rFonts w:ascii="Garamond" w:hAnsi="Garamond"/>
        <w:i w:val="1"/>
        <w:iCs w:val="1"/>
        <w:sz w:val="22"/>
        <w:szCs w:val="22"/>
        <w:shd w:val="clear" w:color="auto" w:fill="00ffff"/>
        <w:rtl w:val="0"/>
        <w:lang w:val="en-US"/>
      </w:rPr>
      <w:t>Bringing innovative practices to your school</w:t>
    </w:r>
    <w:r>
      <w:rPr>
        <w:rFonts w:ascii="Garamond" w:cs="Garamond" w:hAnsi="Garamond" w:eastAsia="Garamond"/>
        <w:i w:val="1"/>
        <w:iCs w:val="1"/>
        <w:sz w:val="22"/>
        <w:szCs w:val="22"/>
      </w:rPr>
      <w:tab/>
      <w:tab/>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rPr>
        <w:rFonts w:ascii="Garamond" w:cs="Garamond" w:hAnsi="Garamond" w:eastAsia="Garamond"/>
        <w:sz w:val="22"/>
        <w:szCs w:val="22"/>
      </w:rPr>
    </w:pPr>
    <w:r>
      <w:rPr>
        <w:rFonts w:ascii="Garamond" w:cs="Garamond" w:hAnsi="Garamond" w:eastAsia="Garamond"/>
        <w:sz w:val="22"/>
        <w:szCs w:val="22"/>
        <w:rtl w:val="0"/>
      </w:rPr>
      <w:fldChar w:fldCharType="begin" w:fldLock="0"/>
    </w:r>
    <w:r>
      <w:rPr>
        <w:rFonts w:ascii="Garamond" w:cs="Garamond" w:hAnsi="Garamond" w:eastAsia="Garamond"/>
        <w:sz w:val="22"/>
        <w:szCs w:val="22"/>
        <w:rtl w:val="0"/>
      </w:rPr>
      <w:instrText xml:space="preserve"> PAGE </w:instrText>
    </w:r>
    <w:r>
      <w:rPr>
        <w:rFonts w:ascii="Garamond" w:cs="Garamond" w:hAnsi="Garamond" w:eastAsia="Garamond"/>
        <w:sz w:val="22"/>
        <w:szCs w:val="22"/>
        <w:rtl w:val="0"/>
      </w:rPr>
      <w:fldChar w:fldCharType="separate" w:fldLock="0"/>
    </w:r>
    <w:r>
      <w:rPr>
        <w:rFonts w:ascii="Garamond" w:cs="Garamond" w:hAnsi="Garamond" w:eastAsia="Garamond"/>
        <w:sz w:val="22"/>
        <w:szCs w:val="22"/>
        <w:rtl w:val="0"/>
      </w:rPr>
      <w:fldChar w:fldCharType="end" w:fldLock="0"/>
    </w:r>
  </w:p>
  <w:p>
    <w:pPr>
      <w:pStyle w:val="header"/>
    </w:pPr>
    <w:r>
      <w:rPr>
        <w:rFonts w:ascii="Garamond" w:cs="Garamond" w:hAnsi="Garamond" w:eastAsia="Garamond"/>
        <w:i w:val="1"/>
        <w:iCs w:val="1"/>
        <w:sz w:val="22"/>
        <w:szCs w:val="22"/>
      </w:r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page number">
    <w:name w:val="page numbe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1"/>
      <w:bidi w:val="0"/>
      <w:spacing w:before="0" w:after="200" w:line="276"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4"/>
      </w:numPr>
    </w:pPr>
  </w:style>
  <w:style w:type="character" w:styleId="None">
    <w:name w:val="None"/>
  </w:style>
  <w:style w:type="character" w:styleId="Hyperlink.0">
    <w:name w:val="Hyperlink.0"/>
    <w:basedOn w:val="None"/>
    <w:next w:val="Hyperlink.0"/>
    <w:rPr>
      <w:outline w:val="0"/>
      <w:color w:val="1155cc"/>
      <w:sz w:val="24"/>
      <w:szCs w:val="24"/>
      <w:u w:val="single" w:color="1155cc"/>
      <w14:textFill>
        <w14:solidFill>
          <w14:srgbClr w14:val="1155CC"/>
        </w14:solidFill>
      </w14:textFill>
    </w:rPr>
  </w:style>
  <w:style w:type="character" w:styleId="Link">
    <w:name w:val="Link"/>
    <w:rPr>
      <w:outline w:val="0"/>
      <w:color w:val="0563c1"/>
      <w:u w:val="single" w:color="0563c1"/>
      <w14:textFill>
        <w14:solidFill>
          <w14:srgbClr w14:val="0563C1"/>
        </w14:solidFill>
      </w14:textFill>
    </w:rPr>
  </w:style>
  <w:style w:type="character" w:styleId="Hyperlink.1">
    <w:name w:val="Hyperlink.1"/>
    <w:basedOn w:val="Link"/>
    <w:next w:val="Hyperlink.1"/>
    <w:rPr>
      <w:rFonts w:ascii="Garamond" w:cs="Garamond" w:hAnsi="Garamond" w:eastAsia="Garamond"/>
      <w:outline w:val="0"/>
      <w:color w:val="000000"/>
      <w:spacing w:val="4"/>
      <w:sz w:val="24"/>
      <w:szCs w:val="24"/>
      <w:u w:color="000000"/>
      <w14:textFill>
        <w14:solidFill>
          <w14:srgbClr w14:val="000000"/>
        </w14:solidFill>
      </w14:textFill>
    </w:rPr>
  </w:style>
  <w:style w:type="character" w:styleId="Hyperlink.2">
    <w:name w:val="Hyperlink.2"/>
    <w:basedOn w:val="Link"/>
    <w:next w:val="Hyperlink.2"/>
    <w:rPr>
      <w:rFonts w:ascii="Garamond" w:cs="Garamond" w:hAnsi="Garamond" w:eastAsia="Garamond"/>
      <w:outline w:val="0"/>
      <w:color w:val="000000"/>
      <w:sz w:val="24"/>
      <w:szCs w:val="24"/>
      <w:u w:color="000000"/>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1.jpeg"/><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numbering" Target="numbering.xml"/><Relationship Id="rId21" Type="http://schemas.openxmlformats.org/officeDocument/2006/relationships/theme" Target="theme/theme1.xml"/></Relationships>

</file>

<file path=word/_rels/header3.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